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2519" w14:textId="77777777" w:rsidR="00A73244" w:rsidRPr="00A73244" w:rsidRDefault="00A73244" w:rsidP="00A73244">
      <w:pPr>
        <w:keepNext/>
        <w:outlineLvl w:val="0"/>
        <w:rPr>
          <w:rFonts w:ascii="Arial" w:eastAsia="Times New Roman" w:hAnsi="Arial" w:cs="Arial"/>
          <w:iCs/>
          <w:szCs w:val="24"/>
        </w:rPr>
      </w:pPr>
      <w:bookmarkStart w:id="0" w:name="_Hlk95292408"/>
      <w:r w:rsidRPr="00A73244">
        <w:rPr>
          <w:rFonts w:ascii="Arial" w:eastAsia="Times New Roman" w:hAnsi="Arial" w:cs="Arial"/>
          <w:iCs/>
          <w:szCs w:val="24"/>
        </w:rPr>
        <w:t>PROVINCE DE QUÉBEC</w:t>
      </w:r>
    </w:p>
    <w:p w14:paraId="5BAC2126" w14:textId="77777777" w:rsidR="00A73244" w:rsidRPr="00A73244" w:rsidRDefault="00A73244" w:rsidP="00A73244">
      <w:pPr>
        <w:rPr>
          <w:rFonts w:ascii="Arial" w:eastAsia="Times New Roman" w:hAnsi="Arial" w:cs="Times New Roman"/>
          <w:szCs w:val="20"/>
        </w:rPr>
      </w:pPr>
      <w:r w:rsidRPr="00A73244">
        <w:rPr>
          <w:rFonts w:ascii="Arial" w:eastAsia="Times New Roman" w:hAnsi="Arial" w:cs="Times New Roman"/>
          <w:szCs w:val="20"/>
        </w:rPr>
        <w:t>MUNICIPALITÉ RÉGIONALE DE COMTÉ</w:t>
      </w:r>
    </w:p>
    <w:p w14:paraId="75808C50" w14:textId="77777777" w:rsidR="00A73244" w:rsidRPr="00A73244" w:rsidRDefault="00A73244" w:rsidP="00A73244">
      <w:pPr>
        <w:rPr>
          <w:rFonts w:ascii="Arial" w:eastAsia="Times New Roman" w:hAnsi="Arial" w:cs="Times New Roman"/>
          <w:szCs w:val="20"/>
        </w:rPr>
      </w:pPr>
      <w:r w:rsidRPr="00A73244">
        <w:rPr>
          <w:rFonts w:ascii="Arial" w:eastAsia="Times New Roman" w:hAnsi="Arial" w:cs="Times New Roman"/>
          <w:szCs w:val="20"/>
        </w:rPr>
        <w:t>D’ANTOINE-LABELLE</w:t>
      </w:r>
    </w:p>
    <w:p w14:paraId="5F93CD46" w14:textId="77777777" w:rsidR="00A73244" w:rsidRPr="00A73244" w:rsidRDefault="00A73244" w:rsidP="00A73244">
      <w:pPr>
        <w:rPr>
          <w:rFonts w:ascii="Arial" w:eastAsia="Times New Roman" w:hAnsi="Arial" w:cs="Times New Roman"/>
          <w:szCs w:val="20"/>
        </w:rPr>
      </w:pPr>
      <w:r w:rsidRPr="00A73244">
        <w:rPr>
          <w:rFonts w:ascii="Arial" w:eastAsia="Times New Roman" w:hAnsi="Arial" w:cs="Times New Roman"/>
          <w:szCs w:val="20"/>
        </w:rPr>
        <w:t>MUNICIPALITÉ DE SAINTE-ANNE-DU-LAC</w:t>
      </w:r>
    </w:p>
    <w:p w14:paraId="63508921" w14:textId="77777777" w:rsidR="00392650" w:rsidRDefault="00392650" w:rsidP="00CC2108">
      <w:pPr>
        <w:rPr>
          <w:rFonts w:ascii="Arial" w:hAnsi="Arial" w:cs="Arial"/>
        </w:rPr>
      </w:pPr>
    </w:p>
    <w:p w14:paraId="735DC54A" w14:textId="77777777" w:rsidR="00392650" w:rsidRDefault="00392650" w:rsidP="00CC2108">
      <w:pPr>
        <w:rPr>
          <w:rFonts w:ascii="Arial" w:hAnsi="Arial" w:cs="Arial"/>
        </w:rPr>
      </w:pPr>
    </w:p>
    <w:p w14:paraId="49869537" w14:textId="40C1D3DB" w:rsidR="00420795" w:rsidRPr="00420795" w:rsidRDefault="00BF3059" w:rsidP="00420795">
      <w:pPr>
        <w:keepNext/>
        <w:outlineLvl w:val="1"/>
        <w:rPr>
          <w:rFonts w:ascii="Arial" w:eastAsia="Times New Roman" w:hAnsi="Arial" w:cs="Arial"/>
          <w:b/>
          <w:bCs/>
          <w:iCs/>
          <w:u w:val="single"/>
        </w:rPr>
      </w:pPr>
      <w:r>
        <w:rPr>
          <w:rFonts w:ascii="Arial" w:eastAsia="Times New Roman" w:hAnsi="Arial" w:cs="Arial"/>
          <w:b/>
          <w:bCs/>
          <w:iCs/>
          <w:u w:val="single"/>
        </w:rPr>
        <w:t>RÈGLEMENT NUMÉRO:</w:t>
      </w:r>
      <w:r w:rsidR="00640158">
        <w:rPr>
          <w:rFonts w:ascii="Arial" w:eastAsia="Times New Roman" w:hAnsi="Arial" w:cs="Arial"/>
          <w:b/>
          <w:bCs/>
          <w:iCs/>
          <w:u w:val="single"/>
        </w:rPr>
        <w:t xml:space="preserve"> </w:t>
      </w:r>
      <w:r w:rsidR="00EF789F">
        <w:rPr>
          <w:rFonts w:ascii="Arial" w:eastAsia="Times New Roman" w:hAnsi="Arial" w:cs="Arial"/>
          <w:b/>
          <w:bCs/>
          <w:iCs/>
          <w:u w:val="single"/>
        </w:rPr>
        <w:t>2</w:t>
      </w:r>
      <w:r w:rsidR="00A20617">
        <w:rPr>
          <w:rFonts w:ascii="Arial" w:eastAsia="Times New Roman" w:hAnsi="Arial" w:cs="Arial"/>
          <w:b/>
          <w:bCs/>
          <w:iCs/>
          <w:u w:val="single"/>
        </w:rPr>
        <w:t>1</w:t>
      </w:r>
      <w:r w:rsidR="00640158">
        <w:rPr>
          <w:rFonts w:ascii="Arial" w:eastAsia="Times New Roman" w:hAnsi="Arial" w:cs="Arial"/>
          <w:b/>
          <w:bCs/>
          <w:iCs/>
          <w:u w:val="single"/>
        </w:rPr>
        <w:t>-</w:t>
      </w:r>
      <w:r w:rsidR="00EF789F">
        <w:rPr>
          <w:rFonts w:ascii="Arial" w:eastAsia="Times New Roman" w:hAnsi="Arial" w:cs="Arial"/>
          <w:b/>
          <w:bCs/>
          <w:iCs/>
          <w:u w:val="single"/>
        </w:rPr>
        <w:t>2</w:t>
      </w:r>
      <w:r w:rsidR="00A20617">
        <w:rPr>
          <w:rFonts w:ascii="Arial" w:eastAsia="Times New Roman" w:hAnsi="Arial" w:cs="Arial"/>
          <w:b/>
          <w:bCs/>
          <w:iCs/>
          <w:u w:val="single"/>
        </w:rPr>
        <w:t>71</w:t>
      </w:r>
    </w:p>
    <w:p w14:paraId="4B174B7A" w14:textId="77777777" w:rsidR="00420795" w:rsidRPr="00420795" w:rsidRDefault="00420795" w:rsidP="00420795">
      <w:pPr>
        <w:rPr>
          <w:rFonts w:ascii="Arial" w:eastAsia="Times New Roman" w:hAnsi="Arial" w:cs="Arial"/>
        </w:rPr>
      </w:pPr>
    </w:p>
    <w:p w14:paraId="57B761C2" w14:textId="755233B9" w:rsidR="00420795" w:rsidRPr="00420795" w:rsidRDefault="00420795" w:rsidP="00420795">
      <w:pPr>
        <w:tabs>
          <w:tab w:val="left" w:pos="5670"/>
        </w:tabs>
        <w:jc w:val="both"/>
        <w:rPr>
          <w:rFonts w:ascii="Arial" w:eastAsia="Times New Roman" w:hAnsi="Arial" w:cs="Arial"/>
          <w:bCs/>
        </w:rPr>
      </w:pPr>
      <w:r w:rsidRPr="00420795">
        <w:rPr>
          <w:rFonts w:ascii="Arial" w:eastAsia="Times New Roman" w:hAnsi="Arial" w:cs="Arial"/>
          <w:bCs/>
        </w:rPr>
        <w:t>Règlement déterminant la tarification et les modalités de paiement de la taxe foncière à taux variés, des taxes spéciales et des taxe</w:t>
      </w:r>
      <w:r w:rsidR="00BF3059">
        <w:rPr>
          <w:rFonts w:ascii="Arial" w:eastAsia="Times New Roman" w:hAnsi="Arial" w:cs="Arial"/>
          <w:bCs/>
        </w:rPr>
        <w:t>s de services, pour l’année 20</w:t>
      </w:r>
      <w:r w:rsidR="00F070BE">
        <w:rPr>
          <w:rFonts w:ascii="Arial" w:eastAsia="Times New Roman" w:hAnsi="Arial" w:cs="Arial"/>
          <w:bCs/>
        </w:rPr>
        <w:t>2</w:t>
      </w:r>
      <w:r w:rsidR="00A20617">
        <w:rPr>
          <w:rFonts w:ascii="Arial" w:eastAsia="Times New Roman" w:hAnsi="Arial" w:cs="Arial"/>
          <w:bCs/>
        </w:rPr>
        <w:t>2</w:t>
      </w:r>
    </w:p>
    <w:p w14:paraId="312E3288" w14:textId="77777777" w:rsidR="00420795" w:rsidRPr="00420795" w:rsidRDefault="00420795" w:rsidP="00420795">
      <w:pPr>
        <w:tabs>
          <w:tab w:val="left" w:pos="5670"/>
        </w:tabs>
        <w:jc w:val="both"/>
        <w:rPr>
          <w:rFonts w:ascii="Arial" w:eastAsia="Times New Roman" w:hAnsi="Arial" w:cs="Arial"/>
          <w:bCs/>
        </w:rPr>
      </w:pPr>
    </w:p>
    <w:p w14:paraId="54556A31" w14:textId="441264AA" w:rsidR="00420795" w:rsidRPr="00420795" w:rsidRDefault="00420795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Cs/>
        </w:rPr>
      </w:pPr>
      <w:r w:rsidRPr="00420795">
        <w:rPr>
          <w:rFonts w:ascii="Arial" w:eastAsia="Times New Roman" w:hAnsi="Arial" w:cs="Arial"/>
          <w:b/>
          <w:bCs/>
        </w:rPr>
        <w:t>ATTENDU</w:t>
      </w:r>
      <w:r w:rsidRPr="00420795">
        <w:rPr>
          <w:rFonts w:ascii="Arial" w:eastAsia="Times New Roman" w:hAnsi="Arial" w:cs="Arial"/>
          <w:b/>
          <w:bCs/>
        </w:rPr>
        <w:tab/>
      </w:r>
      <w:r w:rsidRPr="00420795">
        <w:rPr>
          <w:rFonts w:ascii="Arial" w:eastAsia="Times New Roman" w:hAnsi="Arial" w:cs="Arial"/>
          <w:bCs/>
        </w:rPr>
        <w:t>que le conseil se doit de réaliser, par l’imposition de taxes, les sommes</w:t>
      </w:r>
      <w:r w:rsidR="00AC1062">
        <w:rPr>
          <w:rFonts w:ascii="Arial" w:eastAsia="Times New Roman" w:hAnsi="Arial" w:cs="Arial"/>
          <w:bCs/>
        </w:rPr>
        <w:t xml:space="preserve"> </w:t>
      </w:r>
      <w:r w:rsidRPr="00420795">
        <w:rPr>
          <w:rFonts w:ascii="Arial" w:eastAsia="Times New Roman" w:hAnsi="Arial" w:cs="Arial"/>
          <w:bCs/>
        </w:rPr>
        <w:t>nécessaires aux dépenses d’administration pour faire face aux obligations de la Municipalité;</w:t>
      </w:r>
    </w:p>
    <w:p w14:paraId="6BD7AB05" w14:textId="77777777" w:rsidR="00420795" w:rsidRPr="00420795" w:rsidRDefault="00420795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Cs/>
        </w:rPr>
      </w:pPr>
    </w:p>
    <w:p w14:paraId="4BC8DB1F" w14:textId="77777777" w:rsidR="00420795" w:rsidRPr="00420795" w:rsidRDefault="00420795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Cs/>
        </w:rPr>
      </w:pPr>
      <w:r w:rsidRPr="00420795">
        <w:rPr>
          <w:rFonts w:ascii="Arial" w:eastAsia="Times New Roman" w:hAnsi="Arial" w:cs="Arial"/>
          <w:b/>
          <w:bCs/>
        </w:rPr>
        <w:t>ATTENDU</w:t>
      </w:r>
      <w:r w:rsidRPr="00420795">
        <w:rPr>
          <w:rFonts w:ascii="Arial" w:eastAsia="Times New Roman" w:hAnsi="Arial" w:cs="Arial"/>
          <w:b/>
          <w:bCs/>
        </w:rPr>
        <w:tab/>
      </w:r>
      <w:r w:rsidRPr="00420795">
        <w:rPr>
          <w:rFonts w:ascii="Arial" w:eastAsia="Times New Roman" w:hAnsi="Arial" w:cs="Arial"/>
          <w:bCs/>
        </w:rPr>
        <w:t>qu’il y a lieu d’imposer une taxe foncière à taux variés ainsi qu’une tarification pour couvrir les dépenses des services des réseaux d’aqueduc et d’égout et du service de collecte et de transport des matières résiduelles, recyclables et organiques;</w:t>
      </w:r>
    </w:p>
    <w:p w14:paraId="738B1B49" w14:textId="77777777" w:rsidR="00420795" w:rsidRPr="00420795" w:rsidRDefault="00420795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/>
          <w:bCs/>
        </w:rPr>
      </w:pPr>
    </w:p>
    <w:p w14:paraId="3AA2B65B" w14:textId="442D5502" w:rsidR="00420795" w:rsidRPr="00420795" w:rsidRDefault="00420795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Cs/>
        </w:rPr>
      </w:pPr>
      <w:r w:rsidRPr="00420795">
        <w:rPr>
          <w:rFonts w:ascii="Arial" w:eastAsia="Times New Roman" w:hAnsi="Arial" w:cs="Arial"/>
          <w:b/>
          <w:bCs/>
        </w:rPr>
        <w:t>ATTENDU</w:t>
      </w:r>
      <w:r w:rsidRPr="00420795">
        <w:rPr>
          <w:rFonts w:ascii="Arial" w:eastAsia="Times New Roman" w:hAnsi="Arial" w:cs="Arial"/>
          <w:bCs/>
        </w:rPr>
        <w:tab/>
        <w:t xml:space="preserve">qu’un avis de motion du présent règlement a été </w:t>
      </w:r>
      <w:r w:rsidR="00BF3059">
        <w:rPr>
          <w:rFonts w:ascii="Arial" w:eastAsia="Times New Roman" w:hAnsi="Arial" w:cs="Arial"/>
          <w:bCs/>
        </w:rPr>
        <w:t xml:space="preserve">donné à la séance ordinaire du </w:t>
      </w:r>
      <w:r w:rsidR="00A20617">
        <w:rPr>
          <w:rFonts w:ascii="Arial" w:eastAsia="Times New Roman" w:hAnsi="Arial" w:cs="Arial"/>
          <w:bCs/>
        </w:rPr>
        <w:t>15</w:t>
      </w:r>
      <w:r w:rsidR="00BF3059">
        <w:rPr>
          <w:rFonts w:ascii="Arial" w:eastAsia="Times New Roman" w:hAnsi="Arial" w:cs="Arial"/>
          <w:bCs/>
        </w:rPr>
        <w:t xml:space="preserve"> novembre 20</w:t>
      </w:r>
      <w:r w:rsidR="00EF789F">
        <w:rPr>
          <w:rFonts w:ascii="Arial" w:eastAsia="Times New Roman" w:hAnsi="Arial" w:cs="Arial"/>
          <w:bCs/>
        </w:rPr>
        <w:t>2</w:t>
      </w:r>
      <w:r w:rsidR="00A20617">
        <w:rPr>
          <w:rFonts w:ascii="Arial" w:eastAsia="Times New Roman" w:hAnsi="Arial" w:cs="Arial"/>
          <w:bCs/>
        </w:rPr>
        <w:t>1</w:t>
      </w:r>
      <w:r w:rsidRPr="00420795">
        <w:rPr>
          <w:rFonts w:ascii="Arial" w:eastAsia="Times New Roman" w:hAnsi="Arial" w:cs="Arial"/>
          <w:bCs/>
        </w:rPr>
        <w:t>;</w:t>
      </w:r>
    </w:p>
    <w:p w14:paraId="0F3A9E33" w14:textId="77777777" w:rsidR="00420795" w:rsidRPr="00420795" w:rsidRDefault="00420795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Cs/>
        </w:rPr>
      </w:pPr>
    </w:p>
    <w:p w14:paraId="3B86BCE2" w14:textId="641C2C8E" w:rsidR="00083904" w:rsidRPr="009C7F63" w:rsidRDefault="00420795" w:rsidP="00083904">
      <w:pPr>
        <w:tabs>
          <w:tab w:val="left" w:pos="1418"/>
          <w:tab w:val="left" w:pos="5670"/>
        </w:tabs>
        <w:ind w:left="1416" w:hanging="1416"/>
        <w:jc w:val="both"/>
        <w:rPr>
          <w:rFonts w:ascii="Arial" w:eastAsia="Times New Roman" w:hAnsi="Arial" w:cs="Arial"/>
          <w:bCs/>
        </w:rPr>
      </w:pPr>
      <w:r w:rsidRPr="00420795">
        <w:rPr>
          <w:rFonts w:ascii="Arial" w:eastAsia="Times New Roman" w:hAnsi="Arial" w:cs="Arial"/>
          <w:b/>
          <w:bCs/>
        </w:rPr>
        <w:t>ATTENDU</w:t>
      </w:r>
      <w:r w:rsidRPr="00420795">
        <w:rPr>
          <w:rFonts w:ascii="Arial" w:eastAsia="Times New Roman" w:hAnsi="Arial" w:cs="Arial"/>
          <w:b/>
          <w:bCs/>
        </w:rPr>
        <w:tab/>
      </w:r>
      <w:r w:rsidRPr="009C7F63">
        <w:rPr>
          <w:rFonts w:ascii="Arial" w:eastAsia="Times New Roman" w:hAnsi="Arial" w:cs="Arial"/>
          <w:bCs/>
        </w:rPr>
        <w:t>que le règlement numéro 05-</w:t>
      </w:r>
      <w:smartTag w:uri="urn:schemas-microsoft-com:office:smarttags" w:element="metricconverter">
        <w:smartTagPr>
          <w:attr w:name="ProductID" w:val="149 a"/>
        </w:smartTagPr>
        <w:r w:rsidRPr="009C7F63">
          <w:rPr>
            <w:rFonts w:ascii="Arial" w:eastAsia="Times New Roman" w:hAnsi="Arial" w:cs="Arial"/>
            <w:bCs/>
          </w:rPr>
          <w:t>149 a</w:t>
        </w:r>
      </w:smartTag>
      <w:r w:rsidRPr="009C7F63">
        <w:rPr>
          <w:rFonts w:ascii="Arial" w:eastAsia="Times New Roman" w:hAnsi="Arial" w:cs="Arial"/>
          <w:bCs/>
        </w:rPr>
        <w:t xml:space="preserve"> autorisé un emprunt pour l’acquisition d’un camion de type autopompe-citerne et que pour </w:t>
      </w:r>
      <w:r w:rsidR="00823FC4" w:rsidRPr="009C7F63">
        <w:rPr>
          <w:rFonts w:ascii="Arial" w:eastAsia="Times New Roman" w:hAnsi="Arial" w:cs="Arial"/>
          <w:bCs/>
        </w:rPr>
        <w:t>l’année 20</w:t>
      </w:r>
      <w:r w:rsidR="00F070BE">
        <w:rPr>
          <w:rFonts w:ascii="Arial" w:eastAsia="Times New Roman" w:hAnsi="Arial" w:cs="Arial"/>
          <w:bCs/>
        </w:rPr>
        <w:t>2</w:t>
      </w:r>
      <w:r w:rsidR="00A20617">
        <w:rPr>
          <w:rFonts w:ascii="Arial" w:eastAsia="Times New Roman" w:hAnsi="Arial" w:cs="Arial"/>
          <w:bCs/>
        </w:rPr>
        <w:t>1</w:t>
      </w:r>
      <w:r w:rsidR="00823FC4" w:rsidRPr="009C7F63">
        <w:rPr>
          <w:rFonts w:ascii="Arial" w:eastAsia="Times New Roman" w:hAnsi="Arial" w:cs="Arial"/>
          <w:bCs/>
        </w:rPr>
        <w:t>,</w:t>
      </w:r>
      <w:r w:rsidR="00083904" w:rsidRPr="00083904">
        <w:rPr>
          <w:rFonts w:ascii="Arial" w:eastAsia="Times New Roman" w:hAnsi="Arial" w:cs="Arial"/>
          <w:bCs/>
        </w:rPr>
        <w:t xml:space="preserve"> </w:t>
      </w:r>
      <w:r w:rsidR="00083904">
        <w:rPr>
          <w:rFonts w:ascii="Arial" w:eastAsia="Times New Roman" w:hAnsi="Arial" w:cs="Arial"/>
          <w:bCs/>
        </w:rPr>
        <w:t>aucun montant à</w:t>
      </w:r>
      <w:r w:rsidR="00083904" w:rsidRPr="009C7F63">
        <w:rPr>
          <w:rFonts w:ascii="Arial" w:eastAsia="Times New Roman" w:hAnsi="Arial" w:cs="Arial"/>
          <w:bCs/>
        </w:rPr>
        <w:t xml:space="preserve"> rembours</w:t>
      </w:r>
      <w:r w:rsidR="00083904">
        <w:rPr>
          <w:rFonts w:ascii="Arial" w:eastAsia="Times New Roman" w:hAnsi="Arial" w:cs="Arial"/>
          <w:bCs/>
        </w:rPr>
        <w:t>er le prêt est totalement payé</w:t>
      </w:r>
      <w:r w:rsidR="00083904" w:rsidRPr="009C7F63">
        <w:rPr>
          <w:rFonts w:ascii="Arial" w:eastAsia="Times New Roman" w:hAnsi="Arial" w:cs="Arial"/>
          <w:bCs/>
        </w:rPr>
        <w:t>;</w:t>
      </w:r>
    </w:p>
    <w:p w14:paraId="56D3B589" w14:textId="27E62E23" w:rsidR="00420795" w:rsidRPr="009C7F63" w:rsidRDefault="00420795" w:rsidP="00A20617">
      <w:pPr>
        <w:tabs>
          <w:tab w:val="left" w:pos="1418"/>
          <w:tab w:val="left" w:pos="5670"/>
        </w:tabs>
        <w:jc w:val="both"/>
        <w:rPr>
          <w:rFonts w:ascii="Arial" w:eastAsia="Times New Roman" w:hAnsi="Arial" w:cs="Arial"/>
          <w:b/>
          <w:bCs/>
        </w:rPr>
      </w:pPr>
    </w:p>
    <w:p w14:paraId="12E82CA7" w14:textId="77777777" w:rsidR="00420795" w:rsidRPr="009C7F63" w:rsidRDefault="00420795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Cs/>
        </w:rPr>
      </w:pPr>
    </w:p>
    <w:p w14:paraId="092B870E" w14:textId="77777777" w:rsidR="00A20617" w:rsidRPr="009C7F63" w:rsidRDefault="00420795" w:rsidP="00A20617">
      <w:pPr>
        <w:tabs>
          <w:tab w:val="left" w:pos="1418"/>
          <w:tab w:val="left" w:pos="5670"/>
        </w:tabs>
        <w:ind w:left="1416" w:hanging="1416"/>
        <w:jc w:val="both"/>
        <w:rPr>
          <w:rFonts w:ascii="Arial" w:eastAsia="Times New Roman" w:hAnsi="Arial" w:cs="Arial"/>
          <w:bCs/>
        </w:rPr>
      </w:pPr>
      <w:r w:rsidRPr="009C7F63">
        <w:rPr>
          <w:rFonts w:ascii="Arial" w:eastAsia="Times New Roman" w:hAnsi="Arial" w:cs="Arial"/>
          <w:b/>
          <w:bCs/>
        </w:rPr>
        <w:t>ATTENDU</w:t>
      </w:r>
      <w:r w:rsidRPr="009C7F63">
        <w:rPr>
          <w:rFonts w:ascii="Arial" w:eastAsia="Times New Roman" w:hAnsi="Arial" w:cs="Arial"/>
          <w:b/>
          <w:bCs/>
        </w:rPr>
        <w:tab/>
      </w:r>
      <w:r w:rsidRPr="009C7F63">
        <w:rPr>
          <w:rFonts w:ascii="Arial" w:eastAsia="Times New Roman" w:hAnsi="Arial" w:cs="Arial"/>
          <w:bCs/>
        </w:rPr>
        <w:t>que le règlement numéro 05-</w:t>
      </w:r>
      <w:smartTag w:uri="urn:schemas-microsoft-com:office:smarttags" w:element="metricconverter">
        <w:smartTagPr>
          <w:attr w:name="ProductID" w:val="150 a"/>
        </w:smartTagPr>
        <w:r w:rsidRPr="009C7F63">
          <w:rPr>
            <w:rFonts w:ascii="Arial" w:eastAsia="Times New Roman" w:hAnsi="Arial" w:cs="Arial"/>
            <w:bCs/>
          </w:rPr>
          <w:t>150 a</w:t>
        </w:r>
      </w:smartTag>
      <w:r w:rsidRPr="009C7F63">
        <w:rPr>
          <w:rFonts w:ascii="Arial" w:eastAsia="Times New Roman" w:hAnsi="Arial" w:cs="Arial"/>
          <w:bCs/>
        </w:rPr>
        <w:t xml:space="preserve"> autorisé un emprunt pour effectuer des travaux nécessaires à l’amélioration de l’approvisionnement et de la qualité de l’eau </w:t>
      </w:r>
      <w:r w:rsidR="00FC45AA" w:rsidRPr="009C7F63">
        <w:rPr>
          <w:rFonts w:ascii="Arial" w:eastAsia="Times New Roman" w:hAnsi="Arial" w:cs="Arial"/>
          <w:bCs/>
        </w:rPr>
        <w:t>potable et que pour l’année 20</w:t>
      </w:r>
      <w:r w:rsidR="00F070BE">
        <w:rPr>
          <w:rFonts w:ascii="Arial" w:eastAsia="Times New Roman" w:hAnsi="Arial" w:cs="Arial"/>
          <w:bCs/>
        </w:rPr>
        <w:t>2</w:t>
      </w:r>
      <w:r w:rsidR="00A20617">
        <w:rPr>
          <w:rFonts w:ascii="Arial" w:eastAsia="Times New Roman" w:hAnsi="Arial" w:cs="Arial"/>
          <w:bCs/>
        </w:rPr>
        <w:t>2</w:t>
      </w:r>
      <w:r w:rsidR="00F324F6" w:rsidRPr="009C7F63">
        <w:rPr>
          <w:rFonts w:ascii="Arial" w:eastAsia="Times New Roman" w:hAnsi="Arial" w:cs="Arial"/>
          <w:bCs/>
        </w:rPr>
        <w:t xml:space="preserve">, </w:t>
      </w:r>
      <w:r w:rsidR="00A20617">
        <w:rPr>
          <w:rFonts w:ascii="Arial" w:eastAsia="Times New Roman" w:hAnsi="Arial" w:cs="Arial"/>
          <w:bCs/>
        </w:rPr>
        <w:t>aucun montant à</w:t>
      </w:r>
      <w:r w:rsidR="00A20617" w:rsidRPr="009C7F63">
        <w:rPr>
          <w:rFonts w:ascii="Arial" w:eastAsia="Times New Roman" w:hAnsi="Arial" w:cs="Arial"/>
          <w:bCs/>
        </w:rPr>
        <w:t xml:space="preserve"> rembours</w:t>
      </w:r>
      <w:r w:rsidR="00A20617">
        <w:rPr>
          <w:rFonts w:ascii="Arial" w:eastAsia="Times New Roman" w:hAnsi="Arial" w:cs="Arial"/>
          <w:bCs/>
        </w:rPr>
        <w:t>er le prêt est totalement payé</w:t>
      </w:r>
      <w:r w:rsidR="00A20617" w:rsidRPr="009C7F63">
        <w:rPr>
          <w:rFonts w:ascii="Arial" w:eastAsia="Times New Roman" w:hAnsi="Arial" w:cs="Arial"/>
          <w:bCs/>
        </w:rPr>
        <w:t>;</w:t>
      </w:r>
    </w:p>
    <w:p w14:paraId="7005BB03" w14:textId="65E8DA55" w:rsidR="00420795" w:rsidRPr="009C7F63" w:rsidRDefault="00420795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/>
          <w:bCs/>
        </w:rPr>
      </w:pPr>
    </w:p>
    <w:p w14:paraId="26E452B5" w14:textId="77777777" w:rsidR="00420795" w:rsidRPr="009C7F63" w:rsidRDefault="00420795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Cs/>
        </w:rPr>
      </w:pPr>
    </w:p>
    <w:p w14:paraId="2045C3E5" w14:textId="68378240" w:rsidR="00420795" w:rsidRPr="009C7F63" w:rsidRDefault="00420795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Cs/>
        </w:rPr>
      </w:pPr>
      <w:r w:rsidRPr="009C7F63">
        <w:rPr>
          <w:rFonts w:ascii="Arial" w:eastAsia="Times New Roman" w:hAnsi="Arial" w:cs="Arial"/>
          <w:b/>
          <w:bCs/>
        </w:rPr>
        <w:t>ATTENDU</w:t>
      </w:r>
      <w:r w:rsidRPr="009C7F63">
        <w:rPr>
          <w:rFonts w:ascii="Arial" w:eastAsia="Times New Roman" w:hAnsi="Arial" w:cs="Arial"/>
          <w:b/>
          <w:bCs/>
        </w:rPr>
        <w:tab/>
      </w:r>
      <w:r w:rsidRPr="009C7F63">
        <w:rPr>
          <w:rFonts w:ascii="Arial" w:eastAsia="Times New Roman" w:hAnsi="Arial" w:cs="Arial"/>
          <w:bCs/>
        </w:rPr>
        <w:t>que le règlement numéro 13-</w:t>
      </w:r>
      <w:smartTag w:uri="urn:schemas-microsoft-com:office:smarttags" w:element="metricconverter">
        <w:smartTagPr>
          <w:attr w:name="ProductID" w:val="197 a"/>
        </w:smartTagPr>
        <w:r w:rsidRPr="009C7F63">
          <w:rPr>
            <w:rFonts w:ascii="Arial" w:eastAsia="Times New Roman" w:hAnsi="Arial" w:cs="Arial"/>
            <w:bCs/>
          </w:rPr>
          <w:t>197 a</w:t>
        </w:r>
      </w:smartTag>
      <w:r w:rsidRPr="009C7F63">
        <w:rPr>
          <w:rFonts w:ascii="Arial" w:eastAsia="Times New Roman" w:hAnsi="Arial" w:cs="Arial"/>
          <w:bCs/>
        </w:rPr>
        <w:t xml:space="preserve"> autorisé un emprunt pour effectuer des travaux de remplacement de conduites d’aqueduc et d’égout sur les rues Notre-Dame et Principale (Route 309), et que pour l’</w:t>
      </w:r>
      <w:r w:rsidR="00AD5CAE" w:rsidRPr="009C7F63">
        <w:rPr>
          <w:rFonts w:ascii="Arial" w:eastAsia="Times New Roman" w:hAnsi="Arial" w:cs="Arial"/>
          <w:bCs/>
        </w:rPr>
        <w:t>année 20</w:t>
      </w:r>
      <w:r w:rsidR="00F070BE">
        <w:rPr>
          <w:rFonts w:ascii="Arial" w:eastAsia="Times New Roman" w:hAnsi="Arial" w:cs="Arial"/>
          <w:bCs/>
        </w:rPr>
        <w:t>2</w:t>
      </w:r>
      <w:r w:rsidR="005C4BDB">
        <w:rPr>
          <w:rFonts w:ascii="Arial" w:eastAsia="Times New Roman" w:hAnsi="Arial" w:cs="Arial"/>
          <w:bCs/>
        </w:rPr>
        <w:t>2</w:t>
      </w:r>
      <w:r w:rsidR="00AD5CAE" w:rsidRPr="009C7F63">
        <w:rPr>
          <w:rFonts w:ascii="Arial" w:eastAsia="Times New Roman" w:hAnsi="Arial" w:cs="Arial"/>
          <w:bCs/>
        </w:rPr>
        <w:t xml:space="preserve">, un montant de </w:t>
      </w:r>
      <w:r w:rsidR="00F070BE">
        <w:rPr>
          <w:rFonts w:ascii="Arial" w:eastAsia="Times New Roman" w:hAnsi="Arial" w:cs="Arial"/>
          <w:bCs/>
        </w:rPr>
        <w:t>30 </w:t>
      </w:r>
      <w:r w:rsidR="005C4BDB">
        <w:rPr>
          <w:rFonts w:ascii="Arial" w:eastAsia="Times New Roman" w:hAnsi="Arial" w:cs="Arial"/>
          <w:bCs/>
        </w:rPr>
        <w:t>478</w:t>
      </w:r>
      <w:r w:rsidRPr="009C7F63">
        <w:rPr>
          <w:rFonts w:ascii="Arial" w:eastAsia="Times New Roman" w:hAnsi="Arial" w:cs="Arial"/>
          <w:bCs/>
        </w:rPr>
        <w:t xml:space="preserve"> $ doit être remboursé;</w:t>
      </w:r>
    </w:p>
    <w:p w14:paraId="2F78EF60" w14:textId="77777777" w:rsidR="00823FC4" w:rsidRPr="00BF3059" w:rsidRDefault="00823FC4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/>
          <w:bCs/>
          <w:highlight w:val="yellow"/>
        </w:rPr>
      </w:pPr>
    </w:p>
    <w:p w14:paraId="4D83FEC8" w14:textId="08254255" w:rsidR="00420795" w:rsidRPr="009C7F63" w:rsidRDefault="00420795" w:rsidP="00420795">
      <w:pPr>
        <w:tabs>
          <w:tab w:val="left" w:pos="1418"/>
          <w:tab w:val="left" w:pos="5670"/>
        </w:tabs>
        <w:ind w:left="1416" w:hanging="1416"/>
        <w:jc w:val="both"/>
        <w:rPr>
          <w:rFonts w:ascii="Arial" w:eastAsia="Times New Roman" w:hAnsi="Arial" w:cs="Arial"/>
          <w:bCs/>
        </w:rPr>
      </w:pPr>
      <w:r w:rsidRPr="009C7F63">
        <w:rPr>
          <w:rFonts w:ascii="Arial" w:eastAsia="Times New Roman" w:hAnsi="Arial" w:cs="Arial"/>
          <w:b/>
          <w:bCs/>
        </w:rPr>
        <w:t>ATTENDU</w:t>
      </w:r>
      <w:r w:rsidRPr="009C7F63">
        <w:rPr>
          <w:rFonts w:ascii="Arial" w:eastAsia="Times New Roman" w:hAnsi="Arial" w:cs="Arial"/>
          <w:b/>
          <w:bCs/>
        </w:rPr>
        <w:tab/>
      </w:r>
      <w:r w:rsidRPr="009C7F63">
        <w:rPr>
          <w:rFonts w:ascii="Arial" w:eastAsia="Times New Roman" w:hAnsi="Arial" w:cs="Arial"/>
          <w:bCs/>
        </w:rPr>
        <w:t>que le règlement numéro 13-</w:t>
      </w:r>
      <w:smartTag w:uri="urn:schemas-microsoft-com:office:smarttags" w:element="metricconverter">
        <w:smartTagPr>
          <w:attr w:name="ProductID" w:val="198 a"/>
        </w:smartTagPr>
        <w:r w:rsidRPr="009C7F63">
          <w:rPr>
            <w:rFonts w:ascii="Arial" w:eastAsia="Times New Roman" w:hAnsi="Arial" w:cs="Arial"/>
            <w:bCs/>
          </w:rPr>
          <w:t>198 a</w:t>
        </w:r>
      </w:smartTag>
      <w:r w:rsidRPr="009C7F63">
        <w:rPr>
          <w:rFonts w:ascii="Arial" w:eastAsia="Times New Roman" w:hAnsi="Arial" w:cs="Arial"/>
          <w:bCs/>
        </w:rPr>
        <w:t xml:space="preserve"> autorisé un emprunt pour effectuer des travaux d’ajout d’un système de dosage au permanganate de potassium à la station de pompage </w:t>
      </w:r>
      <w:r w:rsidR="00AD5CAE" w:rsidRPr="009C7F63">
        <w:rPr>
          <w:rFonts w:ascii="Arial" w:eastAsia="Times New Roman" w:hAnsi="Arial" w:cs="Arial"/>
          <w:bCs/>
        </w:rPr>
        <w:t>aqueduc et que pour l’année 20</w:t>
      </w:r>
      <w:r w:rsidR="00F070BE">
        <w:rPr>
          <w:rFonts w:ascii="Arial" w:eastAsia="Times New Roman" w:hAnsi="Arial" w:cs="Arial"/>
          <w:bCs/>
        </w:rPr>
        <w:t>20</w:t>
      </w:r>
      <w:r w:rsidR="00AD5CAE" w:rsidRPr="009C7F63">
        <w:rPr>
          <w:rFonts w:ascii="Arial" w:eastAsia="Times New Roman" w:hAnsi="Arial" w:cs="Arial"/>
          <w:bCs/>
        </w:rPr>
        <w:t xml:space="preserve">, </w:t>
      </w:r>
      <w:bookmarkStart w:id="1" w:name="_Hlk57124656"/>
      <w:r w:rsidR="00F070BE">
        <w:rPr>
          <w:rFonts w:ascii="Arial" w:eastAsia="Times New Roman" w:hAnsi="Arial" w:cs="Arial"/>
          <w:bCs/>
        </w:rPr>
        <w:t>aucun montant à</w:t>
      </w:r>
      <w:r w:rsidRPr="009C7F63">
        <w:rPr>
          <w:rFonts w:ascii="Arial" w:eastAsia="Times New Roman" w:hAnsi="Arial" w:cs="Arial"/>
          <w:bCs/>
        </w:rPr>
        <w:t xml:space="preserve"> rembours</w:t>
      </w:r>
      <w:r w:rsidR="00F070BE">
        <w:rPr>
          <w:rFonts w:ascii="Arial" w:eastAsia="Times New Roman" w:hAnsi="Arial" w:cs="Arial"/>
          <w:bCs/>
        </w:rPr>
        <w:t>er le prêt est totalement payé</w:t>
      </w:r>
      <w:r w:rsidRPr="009C7F63">
        <w:rPr>
          <w:rFonts w:ascii="Arial" w:eastAsia="Times New Roman" w:hAnsi="Arial" w:cs="Arial"/>
          <w:bCs/>
        </w:rPr>
        <w:t>;</w:t>
      </w:r>
    </w:p>
    <w:bookmarkEnd w:id="1"/>
    <w:p w14:paraId="5BD20E61" w14:textId="77777777" w:rsidR="00420795" w:rsidRPr="009C7F63" w:rsidRDefault="00420795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/>
          <w:bCs/>
        </w:rPr>
      </w:pPr>
    </w:p>
    <w:p w14:paraId="764E2510" w14:textId="658FE790" w:rsidR="00083904" w:rsidRPr="009C7F63" w:rsidRDefault="00420795" w:rsidP="00083904">
      <w:pPr>
        <w:tabs>
          <w:tab w:val="left" w:pos="1418"/>
          <w:tab w:val="left" w:pos="5670"/>
        </w:tabs>
        <w:ind w:left="1416" w:hanging="1416"/>
        <w:jc w:val="both"/>
        <w:rPr>
          <w:rFonts w:ascii="Arial" w:eastAsia="Times New Roman" w:hAnsi="Arial" w:cs="Arial"/>
          <w:bCs/>
        </w:rPr>
      </w:pPr>
      <w:r w:rsidRPr="009C7F63">
        <w:rPr>
          <w:rFonts w:ascii="Arial" w:eastAsia="Times New Roman" w:hAnsi="Arial" w:cs="Arial"/>
          <w:b/>
          <w:bCs/>
        </w:rPr>
        <w:t>ATTENDU</w:t>
      </w:r>
      <w:r w:rsidRPr="009C7F63">
        <w:rPr>
          <w:rFonts w:ascii="Arial" w:eastAsia="Times New Roman" w:hAnsi="Arial" w:cs="Arial"/>
          <w:b/>
          <w:bCs/>
        </w:rPr>
        <w:tab/>
      </w:r>
      <w:r w:rsidRPr="009C7F63">
        <w:rPr>
          <w:rFonts w:ascii="Arial" w:eastAsia="Times New Roman" w:hAnsi="Arial" w:cs="Arial"/>
          <w:bCs/>
        </w:rPr>
        <w:t>que le règlement numéro 15-215 a autorisé un emprunt pour effectuer des travaux sur une partie du chemin du lac d’Argent et que pour l</w:t>
      </w:r>
      <w:r w:rsidR="00F324F6" w:rsidRPr="009C7F63">
        <w:rPr>
          <w:rFonts w:ascii="Arial" w:eastAsia="Times New Roman" w:hAnsi="Arial" w:cs="Arial"/>
          <w:bCs/>
        </w:rPr>
        <w:t>’année 20</w:t>
      </w:r>
      <w:r w:rsidR="00F070BE">
        <w:rPr>
          <w:rFonts w:ascii="Arial" w:eastAsia="Times New Roman" w:hAnsi="Arial" w:cs="Arial"/>
          <w:bCs/>
        </w:rPr>
        <w:t>2</w:t>
      </w:r>
      <w:r w:rsidR="00083904">
        <w:rPr>
          <w:rFonts w:ascii="Arial" w:eastAsia="Times New Roman" w:hAnsi="Arial" w:cs="Arial"/>
          <w:bCs/>
        </w:rPr>
        <w:t>1</w:t>
      </w:r>
      <w:r w:rsidR="00F324F6" w:rsidRPr="009C7F63">
        <w:rPr>
          <w:rFonts w:ascii="Arial" w:eastAsia="Times New Roman" w:hAnsi="Arial" w:cs="Arial"/>
          <w:bCs/>
        </w:rPr>
        <w:t>,</w:t>
      </w:r>
      <w:r w:rsidR="00083904" w:rsidRPr="00083904">
        <w:rPr>
          <w:rFonts w:ascii="Arial" w:eastAsia="Times New Roman" w:hAnsi="Arial" w:cs="Arial"/>
          <w:bCs/>
        </w:rPr>
        <w:t xml:space="preserve"> </w:t>
      </w:r>
      <w:r w:rsidR="00083904">
        <w:rPr>
          <w:rFonts w:ascii="Arial" w:eastAsia="Times New Roman" w:hAnsi="Arial" w:cs="Arial"/>
          <w:bCs/>
        </w:rPr>
        <w:t>aucun montant à</w:t>
      </w:r>
      <w:r w:rsidR="00083904" w:rsidRPr="009C7F63">
        <w:rPr>
          <w:rFonts w:ascii="Arial" w:eastAsia="Times New Roman" w:hAnsi="Arial" w:cs="Arial"/>
          <w:bCs/>
        </w:rPr>
        <w:t xml:space="preserve"> rembours</w:t>
      </w:r>
      <w:r w:rsidR="00083904">
        <w:rPr>
          <w:rFonts w:ascii="Arial" w:eastAsia="Times New Roman" w:hAnsi="Arial" w:cs="Arial"/>
          <w:bCs/>
        </w:rPr>
        <w:t>er le prêt est totalement payé</w:t>
      </w:r>
      <w:r w:rsidR="00083904" w:rsidRPr="009C7F63">
        <w:rPr>
          <w:rFonts w:ascii="Arial" w:eastAsia="Times New Roman" w:hAnsi="Arial" w:cs="Arial"/>
          <w:bCs/>
        </w:rPr>
        <w:t>;</w:t>
      </w:r>
    </w:p>
    <w:p w14:paraId="247E8345" w14:textId="2EF0C3AF" w:rsidR="00420795" w:rsidRPr="009C7F63" w:rsidRDefault="00F324F6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Cs/>
        </w:rPr>
      </w:pPr>
      <w:r w:rsidRPr="009C7F63">
        <w:rPr>
          <w:rFonts w:ascii="Arial" w:eastAsia="Times New Roman" w:hAnsi="Arial" w:cs="Arial"/>
          <w:bCs/>
        </w:rPr>
        <w:t xml:space="preserve"> </w:t>
      </w:r>
    </w:p>
    <w:p w14:paraId="247EB45A" w14:textId="77777777" w:rsidR="00420795" w:rsidRPr="009C7F63" w:rsidRDefault="00420795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Cs/>
        </w:rPr>
      </w:pPr>
    </w:p>
    <w:p w14:paraId="2BD9A2B5" w14:textId="77777777" w:rsidR="00420795" w:rsidRPr="00420795" w:rsidRDefault="00420795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Cs/>
        </w:rPr>
      </w:pPr>
      <w:r w:rsidRPr="009C7F63">
        <w:rPr>
          <w:rFonts w:ascii="Arial" w:eastAsia="Times New Roman" w:hAnsi="Arial" w:cs="Arial"/>
          <w:b/>
          <w:bCs/>
        </w:rPr>
        <w:t>ATTENDU</w:t>
      </w:r>
      <w:r w:rsidRPr="009C7F63">
        <w:rPr>
          <w:rFonts w:ascii="Arial" w:eastAsia="Times New Roman" w:hAnsi="Arial" w:cs="Arial"/>
          <w:b/>
          <w:bCs/>
        </w:rPr>
        <w:tab/>
      </w:r>
      <w:r w:rsidRPr="009C7F63">
        <w:rPr>
          <w:rFonts w:ascii="Arial" w:eastAsia="Times New Roman" w:hAnsi="Arial" w:cs="Arial"/>
          <w:bCs/>
        </w:rPr>
        <w:t>qu’il y a lieu d’imposer une taxe spéciale pour le remboursement de chacun de ces montants;</w:t>
      </w:r>
    </w:p>
    <w:p w14:paraId="5743D491" w14:textId="77777777" w:rsidR="00420795" w:rsidRPr="00420795" w:rsidRDefault="00420795" w:rsidP="00420795">
      <w:pPr>
        <w:tabs>
          <w:tab w:val="left" w:pos="1418"/>
          <w:tab w:val="left" w:pos="1843"/>
          <w:tab w:val="left" w:pos="5670"/>
        </w:tabs>
        <w:ind w:left="1418" w:hanging="1418"/>
        <w:jc w:val="both"/>
        <w:rPr>
          <w:rFonts w:ascii="Arial" w:eastAsia="Times New Roman" w:hAnsi="Arial" w:cs="Arial"/>
          <w:b/>
          <w:bCs/>
        </w:rPr>
      </w:pPr>
    </w:p>
    <w:p w14:paraId="603E9E35" w14:textId="3A0C5F2F" w:rsidR="00420795" w:rsidRPr="00420795" w:rsidRDefault="00420795" w:rsidP="00420795">
      <w:pPr>
        <w:tabs>
          <w:tab w:val="left" w:pos="1418"/>
          <w:tab w:val="left" w:pos="5670"/>
        </w:tabs>
        <w:ind w:left="1418" w:hanging="1418"/>
        <w:jc w:val="both"/>
        <w:rPr>
          <w:rFonts w:ascii="Arial" w:eastAsia="Times New Roman" w:hAnsi="Arial" w:cs="Arial"/>
          <w:bCs/>
        </w:rPr>
      </w:pPr>
      <w:r w:rsidRPr="00420795">
        <w:rPr>
          <w:rFonts w:ascii="Arial" w:eastAsia="Times New Roman" w:hAnsi="Arial" w:cs="Arial"/>
          <w:b/>
          <w:bCs/>
        </w:rPr>
        <w:t>EN CONSÉQUENCE,</w:t>
      </w:r>
      <w:r w:rsidRPr="00420795">
        <w:rPr>
          <w:rFonts w:ascii="Arial" w:eastAsia="Times New Roman" w:hAnsi="Arial" w:cs="Arial"/>
          <w:bCs/>
        </w:rPr>
        <w:t xml:space="preserve"> il est proposé par </w:t>
      </w:r>
      <w:r w:rsidRPr="000735AB">
        <w:rPr>
          <w:rFonts w:ascii="Arial" w:eastAsia="Times New Roman" w:hAnsi="Arial" w:cs="Arial"/>
          <w:bCs/>
        </w:rPr>
        <w:t>le conseiller</w:t>
      </w:r>
      <w:r w:rsidR="000735AB">
        <w:rPr>
          <w:rFonts w:ascii="Arial" w:eastAsia="Times New Roman" w:hAnsi="Arial" w:cs="Arial"/>
          <w:bCs/>
        </w:rPr>
        <w:t xml:space="preserve"> </w:t>
      </w:r>
      <w:r w:rsidR="000A4090">
        <w:rPr>
          <w:rFonts w:ascii="Arial" w:eastAsia="Times New Roman" w:hAnsi="Arial" w:cs="Arial"/>
          <w:bCs/>
        </w:rPr>
        <w:t>André Charette</w:t>
      </w:r>
      <w:r w:rsidRPr="00BE6A33">
        <w:rPr>
          <w:rFonts w:ascii="Arial" w:eastAsia="Times New Roman" w:hAnsi="Arial" w:cs="Arial"/>
          <w:bCs/>
        </w:rPr>
        <w:t xml:space="preserve"> appuyé par </w:t>
      </w:r>
      <w:r w:rsidR="009C7F63" w:rsidRPr="00BE6A33">
        <w:rPr>
          <w:rFonts w:ascii="Arial" w:eastAsia="Times New Roman" w:hAnsi="Arial" w:cs="Arial"/>
          <w:bCs/>
        </w:rPr>
        <w:t>l</w:t>
      </w:r>
      <w:r w:rsidR="00BE6A33" w:rsidRPr="00BE6A33">
        <w:rPr>
          <w:rFonts w:ascii="Arial" w:eastAsia="Times New Roman" w:hAnsi="Arial" w:cs="Arial"/>
          <w:bCs/>
        </w:rPr>
        <w:t>e</w:t>
      </w:r>
      <w:r w:rsidR="009C7F63" w:rsidRPr="00BE6A33">
        <w:rPr>
          <w:rFonts w:ascii="Arial" w:eastAsia="Times New Roman" w:hAnsi="Arial" w:cs="Arial"/>
          <w:bCs/>
        </w:rPr>
        <w:t xml:space="preserve"> conseill</w:t>
      </w:r>
      <w:r w:rsidR="00BE6A33" w:rsidRPr="00BE6A33">
        <w:rPr>
          <w:rFonts w:ascii="Arial" w:eastAsia="Times New Roman" w:hAnsi="Arial" w:cs="Arial"/>
          <w:bCs/>
        </w:rPr>
        <w:t xml:space="preserve">er </w:t>
      </w:r>
      <w:r w:rsidR="000A4090">
        <w:rPr>
          <w:rFonts w:ascii="Arial" w:eastAsia="Times New Roman" w:hAnsi="Arial" w:cs="Arial"/>
          <w:bCs/>
        </w:rPr>
        <w:t>Michel Miller</w:t>
      </w:r>
      <w:r w:rsidR="00BE6A33" w:rsidRPr="00BE6A33">
        <w:rPr>
          <w:rFonts w:ascii="Arial" w:eastAsia="Times New Roman" w:hAnsi="Arial" w:cs="Arial"/>
          <w:bCs/>
        </w:rPr>
        <w:t xml:space="preserve"> </w:t>
      </w:r>
      <w:r w:rsidR="009C7F63" w:rsidRPr="00BE6A33">
        <w:rPr>
          <w:rFonts w:ascii="Arial" w:eastAsia="Times New Roman" w:hAnsi="Arial" w:cs="Arial"/>
          <w:bCs/>
        </w:rPr>
        <w:t>et</w:t>
      </w:r>
      <w:r w:rsidR="009C7F63">
        <w:rPr>
          <w:rFonts w:ascii="Arial" w:eastAsia="Times New Roman" w:hAnsi="Arial" w:cs="Arial"/>
          <w:bCs/>
        </w:rPr>
        <w:t xml:space="preserve"> </w:t>
      </w:r>
      <w:r w:rsidRPr="00420795">
        <w:rPr>
          <w:rFonts w:ascii="Arial" w:eastAsia="Times New Roman" w:hAnsi="Arial" w:cs="Arial"/>
          <w:bCs/>
        </w:rPr>
        <w:t>résolu à l’unanimité que le Conseil de la Municipalité de Sainte-Anne-du-Lac ordonne et statue, par le présent règlement, ce qui suit:</w:t>
      </w:r>
    </w:p>
    <w:p w14:paraId="5D4847CB" w14:textId="77777777" w:rsidR="00420795" w:rsidRPr="00420795" w:rsidRDefault="00420795" w:rsidP="00420795">
      <w:pPr>
        <w:tabs>
          <w:tab w:val="left" w:pos="1418"/>
          <w:tab w:val="left" w:pos="5670"/>
        </w:tabs>
        <w:jc w:val="both"/>
        <w:rPr>
          <w:rFonts w:ascii="Arial" w:eastAsia="Times New Roman" w:hAnsi="Arial" w:cs="Arial"/>
          <w:b/>
          <w:bCs/>
        </w:rPr>
      </w:pPr>
    </w:p>
    <w:p w14:paraId="38F73035" w14:textId="77777777" w:rsidR="00420795" w:rsidRPr="00420795" w:rsidRDefault="00420795" w:rsidP="00420795">
      <w:pPr>
        <w:tabs>
          <w:tab w:val="left" w:pos="1418"/>
          <w:tab w:val="left" w:pos="5670"/>
        </w:tabs>
        <w:jc w:val="both"/>
        <w:rPr>
          <w:rFonts w:ascii="Arial" w:eastAsia="Times New Roman" w:hAnsi="Arial" w:cs="Arial"/>
          <w:bCs/>
        </w:rPr>
      </w:pPr>
      <w:r w:rsidRPr="00420795">
        <w:rPr>
          <w:rFonts w:ascii="Arial" w:eastAsia="Times New Roman" w:hAnsi="Arial" w:cs="Arial"/>
          <w:b/>
          <w:bCs/>
        </w:rPr>
        <w:t>ARTICLE 1</w:t>
      </w:r>
      <w:r w:rsidRPr="00420795">
        <w:rPr>
          <w:rFonts w:ascii="Arial" w:eastAsia="Times New Roman" w:hAnsi="Arial" w:cs="Arial"/>
          <w:b/>
          <w:bCs/>
        </w:rPr>
        <w:tab/>
      </w:r>
      <w:r w:rsidRPr="00420795">
        <w:rPr>
          <w:rFonts w:ascii="Arial" w:eastAsia="Times New Roman" w:hAnsi="Arial" w:cs="Arial"/>
          <w:bCs/>
          <w:u w:val="single"/>
        </w:rPr>
        <w:t>Préambule</w:t>
      </w:r>
    </w:p>
    <w:p w14:paraId="7E012596" w14:textId="77777777" w:rsidR="00420795" w:rsidRPr="00420795" w:rsidRDefault="00420795" w:rsidP="00420795">
      <w:pPr>
        <w:tabs>
          <w:tab w:val="left" w:pos="2268"/>
          <w:tab w:val="left" w:pos="5670"/>
        </w:tabs>
        <w:ind w:left="2268" w:hanging="2268"/>
        <w:jc w:val="both"/>
        <w:rPr>
          <w:rFonts w:ascii="Arial" w:eastAsia="Times New Roman" w:hAnsi="Arial" w:cs="Arial"/>
          <w:b/>
          <w:bCs/>
        </w:rPr>
      </w:pPr>
    </w:p>
    <w:p w14:paraId="0D0BDE83" w14:textId="77777777" w:rsidR="00420795" w:rsidRPr="00420795" w:rsidRDefault="00420795" w:rsidP="00420795">
      <w:pPr>
        <w:tabs>
          <w:tab w:val="left" w:pos="5670"/>
        </w:tabs>
        <w:jc w:val="both"/>
        <w:rPr>
          <w:rFonts w:ascii="Arial" w:eastAsia="Times New Roman" w:hAnsi="Arial" w:cs="Arial"/>
          <w:bCs/>
        </w:rPr>
      </w:pPr>
      <w:r w:rsidRPr="00420795">
        <w:rPr>
          <w:rFonts w:ascii="Arial" w:eastAsia="Times New Roman" w:hAnsi="Arial" w:cs="Arial"/>
          <w:bCs/>
        </w:rPr>
        <w:t>Le préambule fait partie intégrante du présent règlement.</w:t>
      </w:r>
    </w:p>
    <w:p w14:paraId="2D46F929" w14:textId="77777777" w:rsidR="00E67597" w:rsidRDefault="00E67597" w:rsidP="00420795">
      <w:pPr>
        <w:tabs>
          <w:tab w:val="left" w:pos="2268"/>
          <w:tab w:val="left" w:pos="5670"/>
        </w:tabs>
        <w:ind w:left="2268" w:hanging="2268"/>
        <w:jc w:val="both"/>
        <w:rPr>
          <w:rFonts w:ascii="Arial" w:eastAsia="Times New Roman" w:hAnsi="Arial" w:cs="Arial"/>
          <w:bCs/>
        </w:rPr>
        <w:sectPr w:rsidR="00E67597" w:rsidSect="00E67597">
          <w:pgSz w:w="12240" w:h="20160" w:code="5"/>
          <w:pgMar w:top="2268" w:right="2268" w:bottom="1134" w:left="1871" w:header="709" w:footer="709" w:gutter="0"/>
          <w:cols w:space="708"/>
          <w:titlePg/>
          <w:docGrid w:linePitch="360"/>
        </w:sectPr>
      </w:pPr>
    </w:p>
    <w:p w14:paraId="649B18BE" w14:textId="77777777" w:rsidR="00420795" w:rsidRPr="00420795" w:rsidRDefault="00420795" w:rsidP="00420795">
      <w:pPr>
        <w:tabs>
          <w:tab w:val="left" w:pos="1418"/>
          <w:tab w:val="left" w:pos="5670"/>
        </w:tabs>
        <w:jc w:val="both"/>
        <w:rPr>
          <w:rFonts w:ascii="Arial" w:eastAsia="Times New Roman" w:hAnsi="Arial" w:cs="Arial"/>
          <w:bCs/>
        </w:rPr>
      </w:pPr>
      <w:r w:rsidRPr="00420795">
        <w:rPr>
          <w:rFonts w:ascii="Arial" w:eastAsia="Times New Roman" w:hAnsi="Arial" w:cs="Arial"/>
          <w:b/>
          <w:bCs/>
        </w:rPr>
        <w:lastRenderedPageBreak/>
        <w:t>ARTICLE 2</w:t>
      </w:r>
      <w:r w:rsidRPr="00420795">
        <w:rPr>
          <w:rFonts w:ascii="Arial" w:eastAsia="Times New Roman" w:hAnsi="Arial" w:cs="Arial"/>
          <w:b/>
          <w:bCs/>
        </w:rPr>
        <w:tab/>
      </w:r>
      <w:r w:rsidRPr="00420795">
        <w:rPr>
          <w:rFonts w:ascii="Arial" w:eastAsia="Times New Roman" w:hAnsi="Arial" w:cs="Arial"/>
          <w:bCs/>
          <w:u w:val="single"/>
        </w:rPr>
        <w:t>Taxe foncière à taux variés</w:t>
      </w:r>
    </w:p>
    <w:p w14:paraId="2D112C48" w14:textId="77777777" w:rsidR="00420795" w:rsidRPr="00420795" w:rsidRDefault="00420795" w:rsidP="00420795">
      <w:pPr>
        <w:tabs>
          <w:tab w:val="left" w:pos="2268"/>
          <w:tab w:val="left" w:pos="5670"/>
        </w:tabs>
        <w:ind w:left="2268" w:hanging="2268"/>
        <w:jc w:val="both"/>
        <w:rPr>
          <w:rFonts w:ascii="Arial" w:eastAsia="Times New Roman" w:hAnsi="Arial" w:cs="Arial"/>
          <w:bCs/>
        </w:rPr>
      </w:pPr>
    </w:p>
    <w:p w14:paraId="1C91302D" w14:textId="17CAF225" w:rsidR="00FD675D" w:rsidRDefault="00420795" w:rsidP="00FD675D">
      <w:pPr>
        <w:tabs>
          <w:tab w:val="left" w:pos="1418"/>
          <w:tab w:val="left" w:pos="5670"/>
        </w:tabs>
        <w:suppressAutoHyphens/>
        <w:jc w:val="both"/>
        <w:rPr>
          <w:rFonts w:ascii="Arial" w:eastAsia="Times New Roman" w:hAnsi="Arial" w:cs="Arial"/>
          <w:b/>
          <w:bCs/>
        </w:rPr>
      </w:pPr>
      <w:r w:rsidRPr="00420795">
        <w:rPr>
          <w:rFonts w:ascii="Arial" w:eastAsia="Times New Roman" w:hAnsi="Arial" w:cs="Arial"/>
          <w:bCs/>
        </w:rPr>
        <w:tab/>
        <w:t>Il est, par le présent règlemen</w:t>
      </w:r>
      <w:r w:rsidR="00BF3059">
        <w:rPr>
          <w:rFonts w:ascii="Arial" w:eastAsia="Times New Roman" w:hAnsi="Arial" w:cs="Arial"/>
          <w:bCs/>
        </w:rPr>
        <w:t>t, établi que, pour l’année 20</w:t>
      </w:r>
      <w:r w:rsidR="00F070BE">
        <w:rPr>
          <w:rFonts w:ascii="Arial" w:eastAsia="Times New Roman" w:hAnsi="Arial" w:cs="Arial"/>
          <w:bCs/>
        </w:rPr>
        <w:t>2</w:t>
      </w:r>
      <w:r w:rsidR="005C4BDB">
        <w:rPr>
          <w:rFonts w:ascii="Arial" w:eastAsia="Times New Roman" w:hAnsi="Arial" w:cs="Arial"/>
          <w:bCs/>
        </w:rPr>
        <w:t>2</w:t>
      </w:r>
      <w:r w:rsidRPr="00420795">
        <w:rPr>
          <w:rFonts w:ascii="Arial" w:eastAsia="Times New Roman" w:hAnsi="Arial" w:cs="Arial"/>
          <w:bCs/>
        </w:rPr>
        <w:t xml:space="preserve">, la taxe foncière générale est imposée sur tous les biens imposables au </w:t>
      </w:r>
      <w:r w:rsidRPr="009C7F63">
        <w:rPr>
          <w:rFonts w:ascii="Arial" w:eastAsia="Times New Roman" w:hAnsi="Arial" w:cs="Arial"/>
          <w:bCs/>
        </w:rPr>
        <w:t>taux de quatre-vingt-cinq cents (0,85 $</w:t>
      </w:r>
      <w:r w:rsidRPr="00420795">
        <w:rPr>
          <w:rFonts w:ascii="Arial" w:eastAsia="Times New Roman" w:hAnsi="Arial" w:cs="Arial"/>
          <w:bCs/>
        </w:rPr>
        <w:t>) du cent dollars (100 $) d’évaluation pour les catégories résid</w:t>
      </w:r>
      <w:r w:rsidR="00CB2CD8">
        <w:rPr>
          <w:rFonts w:ascii="Arial" w:eastAsia="Times New Roman" w:hAnsi="Arial" w:cs="Arial"/>
          <w:bCs/>
        </w:rPr>
        <w:t>entiels</w:t>
      </w:r>
      <w:r w:rsidRPr="00420795">
        <w:rPr>
          <w:rFonts w:ascii="Arial" w:eastAsia="Times New Roman" w:hAnsi="Arial" w:cs="Arial"/>
          <w:bCs/>
        </w:rPr>
        <w:t>, immeubles agricoles, terrains vagues et immeubles de six logements et plus et de quatre-vingt-neuf cents (0,89 $) du cent dollars (100 $) d’évaluation pour les catégories immeubles non résidentiels</w:t>
      </w:r>
      <w:r w:rsidR="00CC2108">
        <w:rPr>
          <w:rFonts w:ascii="Arial" w:eastAsia="Times New Roman" w:hAnsi="Arial" w:cs="Arial"/>
          <w:bCs/>
        </w:rPr>
        <w:t> </w:t>
      </w:r>
      <w:r w:rsidRPr="00420795">
        <w:rPr>
          <w:rFonts w:ascii="Arial" w:eastAsia="Times New Roman" w:hAnsi="Arial" w:cs="Arial"/>
          <w:bCs/>
        </w:rPr>
        <w:t>et</w:t>
      </w:r>
      <w:r w:rsidR="00CC2108">
        <w:rPr>
          <w:rFonts w:ascii="Arial" w:eastAsia="Times New Roman" w:hAnsi="Arial" w:cs="Arial"/>
          <w:bCs/>
        </w:rPr>
        <w:t> </w:t>
      </w:r>
      <w:r w:rsidRPr="00420795">
        <w:rPr>
          <w:rFonts w:ascii="Arial" w:eastAsia="Times New Roman" w:hAnsi="Arial" w:cs="Arial"/>
          <w:bCs/>
        </w:rPr>
        <w:t>immeubles</w:t>
      </w:r>
      <w:r w:rsidR="00CC2108">
        <w:rPr>
          <w:rFonts w:ascii="Arial" w:eastAsia="Times New Roman" w:hAnsi="Arial" w:cs="Arial"/>
          <w:bCs/>
        </w:rPr>
        <w:t> </w:t>
      </w:r>
      <w:r w:rsidRPr="00420795">
        <w:rPr>
          <w:rFonts w:ascii="Arial" w:eastAsia="Times New Roman" w:hAnsi="Arial" w:cs="Arial"/>
          <w:bCs/>
        </w:rPr>
        <w:t>industriels.</w:t>
      </w:r>
      <w:r w:rsidR="00FD675D" w:rsidRPr="00FD675D">
        <w:rPr>
          <w:rFonts w:ascii="Arial" w:eastAsia="Times New Roman" w:hAnsi="Arial" w:cs="Arial"/>
          <w:b/>
          <w:bCs/>
        </w:rPr>
        <w:t xml:space="preserve"> </w:t>
      </w:r>
    </w:p>
    <w:p w14:paraId="474255D8" w14:textId="77777777" w:rsidR="00FD675D" w:rsidRDefault="00FD675D" w:rsidP="00FD675D">
      <w:pPr>
        <w:tabs>
          <w:tab w:val="left" w:pos="1418"/>
          <w:tab w:val="left" w:pos="5670"/>
        </w:tabs>
        <w:suppressAutoHyphens/>
        <w:jc w:val="both"/>
        <w:rPr>
          <w:rFonts w:ascii="Arial" w:eastAsia="Times New Roman" w:hAnsi="Arial" w:cs="Arial"/>
          <w:b/>
          <w:bCs/>
        </w:rPr>
      </w:pPr>
    </w:p>
    <w:p w14:paraId="72158556" w14:textId="08F201F9" w:rsidR="00FD675D" w:rsidRDefault="00FD675D" w:rsidP="00FD675D">
      <w:pPr>
        <w:tabs>
          <w:tab w:val="left" w:pos="1418"/>
          <w:tab w:val="left" w:pos="5670"/>
        </w:tabs>
        <w:suppressAutoHyphens/>
        <w:jc w:val="both"/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/>
          <w:bCs/>
        </w:rPr>
        <w:t>A</w:t>
      </w:r>
      <w:r w:rsidRPr="00420795">
        <w:rPr>
          <w:rFonts w:ascii="Arial" w:eastAsia="Times New Roman" w:hAnsi="Arial" w:cs="Arial"/>
          <w:b/>
          <w:bCs/>
        </w:rPr>
        <w:t>RTICLE 3</w:t>
      </w:r>
      <w:r w:rsidRPr="00420795">
        <w:rPr>
          <w:rFonts w:ascii="Arial" w:eastAsia="Times New Roman" w:hAnsi="Arial" w:cs="Arial"/>
          <w:b/>
          <w:bCs/>
        </w:rPr>
        <w:tab/>
      </w:r>
      <w:r w:rsidRPr="00420795">
        <w:rPr>
          <w:rFonts w:ascii="Arial" w:eastAsia="Times New Roman" w:hAnsi="Arial" w:cs="Arial"/>
          <w:bCs/>
          <w:u w:val="single"/>
        </w:rPr>
        <w:t>Taxes spéciales</w:t>
      </w:r>
    </w:p>
    <w:p w14:paraId="3EA92D67" w14:textId="77777777" w:rsidR="00FD675D" w:rsidRPr="009C7F63" w:rsidRDefault="00FD675D" w:rsidP="00FD675D">
      <w:pPr>
        <w:tabs>
          <w:tab w:val="left" w:pos="567"/>
          <w:tab w:val="left" w:pos="5670"/>
        </w:tabs>
        <w:jc w:val="both"/>
        <w:rPr>
          <w:rFonts w:ascii="Arial" w:eastAsia="Times New Roman" w:hAnsi="Arial" w:cs="Arial"/>
          <w:bCs/>
        </w:rPr>
      </w:pPr>
    </w:p>
    <w:p w14:paraId="2C9CC094" w14:textId="22542CF0" w:rsidR="002921EB" w:rsidRDefault="00FD675D" w:rsidP="002921EB">
      <w:pPr>
        <w:tabs>
          <w:tab w:val="left" w:pos="567"/>
          <w:tab w:val="left" w:pos="5670"/>
        </w:tabs>
        <w:ind w:left="567" w:hanging="567"/>
        <w:jc w:val="both"/>
        <w:rPr>
          <w:rFonts w:ascii="Arial" w:eastAsia="Times New Roman" w:hAnsi="Arial" w:cs="Arial"/>
          <w:bCs/>
        </w:rPr>
      </w:pPr>
      <w:r w:rsidRPr="009C7F63">
        <w:rPr>
          <w:rFonts w:ascii="Arial" w:eastAsia="Times New Roman" w:hAnsi="Arial" w:cs="Arial"/>
          <w:bCs/>
        </w:rPr>
        <w:t>3.</w:t>
      </w:r>
      <w:r>
        <w:rPr>
          <w:rFonts w:ascii="Arial" w:eastAsia="Times New Roman" w:hAnsi="Arial" w:cs="Arial"/>
          <w:bCs/>
        </w:rPr>
        <w:t>1</w:t>
      </w:r>
      <w:r w:rsidRPr="009C7F63">
        <w:rPr>
          <w:rFonts w:ascii="Arial" w:eastAsia="Times New Roman" w:hAnsi="Arial" w:cs="Arial"/>
          <w:bCs/>
        </w:rPr>
        <w:tab/>
      </w:r>
      <w:r w:rsidR="002921EB" w:rsidRPr="009C7F63">
        <w:rPr>
          <w:rFonts w:ascii="Arial" w:eastAsia="Times New Roman" w:hAnsi="Arial" w:cs="Arial"/>
          <w:bCs/>
        </w:rPr>
        <w:t>Il est, par le présent règlement, établi que, pour l’année 20</w:t>
      </w:r>
      <w:r w:rsidR="002921EB">
        <w:rPr>
          <w:rFonts w:ascii="Arial" w:eastAsia="Times New Roman" w:hAnsi="Arial" w:cs="Arial"/>
          <w:bCs/>
        </w:rPr>
        <w:t>22</w:t>
      </w:r>
      <w:r w:rsidR="002921EB" w:rsidRPr="009C7F63">
        <w:rPr>
          <w:rFonts w:ascii="Arial" w:eastAsia="Times New Roman" w:hAnsi="Arial" w:cs="Arial"/>
          <w:bCs/>
        </w:rPr>
        <w:t>, une taxe</w:t>
      </w:r>
      <w:r w:rsidR="002921EB">
        <w:rPr>
          <w:rFonts w:ascii="Arial" w:eastAsia="Times New Roman" w:hAnsi="Arial" w:cs="Arial"/>
          <w:bCs/>
        </w:rPr>
        <w:t xml:space="preserve"> </w:t>
      </w:r>
      <w:r w:rsidR="002921EB" w:rsidRPr="009C7F63">
        <w:rPr>
          <w:rFonts w:ascii="Arial" w:eastAsia="Times New Roman" w:hAnsi="Arial" w:cs="Arial"/>
          <w:bCs/>
        </w:rPr>
        <w:t>spéciale au taux de 0,0</w:t>
      </w:r>
      <w:r w:rsidR="002921EB">
        <w:rPr>
          <w:rFonts w:ascii="Arial" w:eastAsia="Times New Roman" w:hAnsi="Arial" w:cs="Arial"/>
          <w:bCs/>
        </w:rPr>
        <w:t>0967</w:t>
      </w:r>
      <w:r w:rsidR="002921EB" w:rsidRPr="009C7F63">
        <w:rPr>
          <w:rFonts w:ascii="Arial" w:eastAsia="Times New Roman" w:hAnsi="Arial" w:cs="Arial"/>
          <w:bCs/>
        </w:rPr>
        <w:t xml:space="preserve"> $ du 100 $ d'évaluation soit imposée, en vertu du règlement numéro 13-197, sur tous les immeubles imposables non</w:t>
      </w:r>
      <w:r w:rsidR="002921EB">
        <w:rPr>
          <w:rFonts w:ascii="Arial" w:eastAsia="Times New Roman" w:hAnsi="Arial" w:cs="Arial"/>
          <w:bCs/>
        </w:rPr>
        <w:t xml:space="preserve"> </w:t>
      </w:r>
      <w:r w:rsidR="002921EB" w:rsidRPr="009C7F63">
        <w:rPr>
          <w:rFonts w:ascii="Arial" w:eastAsia="Times New Roman" w:hAnsi="Arial" w:cs="Arial"/>
          <w:bCs/>
        </w:rPr>
        <w:t>desservis par le réseau d'aqueduc et qu'une taxe spéciale au montant de 1</w:t>
      </w:r>
      <w:r w:rsidR="002921EB">
        <w:rPr>
          <w:rFonts w:ascii="Arial" w:eastAsia="Times New Roman" w:hAnsi="Arial" w:cs="Arial"/>
          <w:bCs/>
        </w:rPr>
        <w:t>17</w:t>
      </w:r>
      <w:r w:rsidR="002921EB" w:rsidRPr="009C7F63">
        <w:rPr>
          <w:rFonts w:ascii="Arial" w:eastAsia="Times New Roman" w:hAnsi="Arial" w:cs="Arial"/>
          <w:bCs/>
        </w:rPr>
        <w:t>,</w:t>
      </w:r>
      <w:r w:rsidR="002921EB">
        <w:rPr>
          <w:rFonts w:ascii="Arial" w:eastAsia="Times New Roman" w:hAnsi="Arial" w:cs="Arial"/>
          <w:bCs/>
        </w:rPr>
        <w:t>80</w:t>
      </w:r>
      <w:r w:rsidR="002921EB" w:rsidRPr="009C7F63">
        <w:rPr>
          <w:rFonts w:ascii="Arial" w:eastAsia="Times New Roman" w:hAnsi="Arial" w:cs="Arial"/>
          <w:bCs/>
        </w:rPr>
        <w:t xml:space="preserve"> $ par unité, soit imposée sur tous les</w:t>
      </w:r>
      <w:r w:rsidR="002921EB">
        <w:rPr>
          <w:rFonts w:ascii="Arial" w:eastAsia="Times New Roman" w:hAnsi="Arial" w:cs="Arial"/>
          <w:bCs/>
        </w:rPr>
        <w:t xml:space="preserve"> </w:t>
      </w:r>
      <w:r w:rsidR="002921EB" w:rsidRPr="009C7F63">
        <w:rPr>
          <w:rFonts w:ascii="Arial" w:eastAsia="Times New Roman" w:hAnsi="Arial" w:cs="Arial"/>
          <w:bCs/>
        </w:rPr>
        <w:t>immeubles imposables desservis par le réseau d'aqueduc, afin de pourvoir aux</w:t>
      </w:r>
      <w:r w:rsidR="002921EB">
        <w:rPr>
          <w:rFonts w:ascii="Arial" w:eastAsia="Times New Roman" w:hAnsi="Arial" w:cs="Arial"/>
          <w:bCs/>
        </w:rPr>
        <w:t xml:space="preserve"> </w:t>
      </w:r>
      <w:r w:rsidR="002921EB" w:rsidRPr="009C7F63">
        <w:rPr>
          <w:rFonts w:ascii="Arial" w:eastAsia="Times New Roman" w:hAnsi="Arial" w:cs="Arial"/>
          <w:bCs/>
        </w:rPr>
        <w:t xml:space="preserve">dépenses engagées relativement aux intérêts et au remboursement en capital des échéances annuelles de l’emprunt pour effectuer des travaux de remplacement de conduites d’aqueduc et d’égout sur les rues Notre-Dame et Principale (Route 309). </w:t>
      </w:r>
    </w:p>
    <w:p w14:paraId="7B3F9750" w14:textId="1494A969" w:rsidR="00FD675D" w:rsidRPr="009C7F63" w:rsidRDefault="00FD675D" w:rsidP="00FD675D">
      <w:pPr>
        <w:tabs>
          <w:tab w:val="left" w:pos="567"/>
          <w:tab w:val="left" w:pos="5670"/>
        </w:tabs>
        <w:ind w:left="567" w:hanging="567"/>
        <w:jc w:val="both"/>
        <w:rPr>
          <w:rFonts w:ascii="Arial" w:eastAsia="Times New Roman" w:hAnsi="Arial" w:cs="Arial"/>
          <w:bCs/>
        </w:rPr>
      </w:pPr>
    </w:p>
    <w:p w14:paraId="519CE287" w14:textId="77777777" w:rsidR="00FD675D" w:rsidRPr="009C7F63" w:rsidRDefault="00FD675D" w:rsidP="00FD675D">
      <w:pPr>
        <w:tabs>
          <w:tab w:val="left" w:pos="567"/>
          <w:tab w:val="left" w:pos="5670"/>
        </w:tabs>
        <w:ind w:hanging="1560"/>
        <w:jc w:val="both"/>
        <w:rPr>
          <w:rFonts w:ascii="Arial" w:eastAsia="Times New Roman" w:hAnsi="Arial" w:cs="Arial"/>
          <w:bCs/>
        </w:rPr>
      </w:pPr>
    </w:p>
    <w:p w14:paraId="0AAB48A9" w14:textId="0257EF2B" w:rsidR="00FD675D" w:rsidRDefault="00FD675D" w:rsidP="00EE04B9">
      <w:pPr>
        <w:tabs>
          <w:tab w:val="left" w:pos="567"/>
          <w:tab w:val="left" w:pos="5670"/>
        </w:tabs>
        <w:ind w:left="567" w:hanging="567"/>
        <w:jc w:val="both"/>
        <w:rPr>
          <w:rFonts w:ascii="Arial" w:eastAsia="Times New Roman" w:hAnsi="Arial" w:cs="Arial"/>
          <w:bCs/>
        </w:rPr>
      </w:pPr>
      <w:r w:rsidRPr="009C7F63">
        <w:rPr>
          <w:rFonts w:ascii="Arial" w:eastAsia="Times New Roman" w:hAnsi="Arial" w:cs="Arial"/>
          <w:bCs/>
        </w:rPr>
        <w:t>3.</w:t>
      </w:r>
      <w:r>
        <w:rPr>
          <w:rFonts w:ascii="Arial" w:eastAsia="Times New Roman" w:hAnsi="Arial" w:cs="Arial"/>
          <w:bCs/>
        </w:rPr>
        <w:t>2</w:t>
      </w:r>
      <w:r w:rsidRPr="009C7F63">
        <w:rPr>
          <w:rFonts w:ascii="Arial" w:eastAsia="Times New Roman" w:hAnsi="Arial" w:cs="Arial"/>
          <w:bCs/>
        </w:rPr>
        <w:tab/>
      </w:r>
      <w:r w:rsidR="002921EB">
        <w:rPr>
          <w:rFonts w:ascii="Arial" w:eastAsia="Times New Roman" w:hAnsi="Arial" w:cs="Arial"/>
          <w:bCs/>
        </w:rPr>
        <w:t>Il est par le présent règlement, établi que pour l’année 2022, une taxe spéciale au montant de 103$ pour les immeubles desservis et un montant de 30$ pour les terrains vacants soit imposée afin de pourvoir aux dépenses</w:t>
      </w:r>
      <w:r w:rsidR="00ED4437">
        <w:rPr>
          <w:rFonts w:ascii="Arial" w:eastAsia="Times New Roman" w:hAnsi="Arial" w:cs="Arial"/>
          <w:bCs/>
        </w:rPr>
        <w:t xml:space="preserve"> du règlement d’emprunt de 24 millions</w:t>
      </w:r>
      <w:r w:rsidR="002921EB">
        <w:rPr>
          <w:rFonts w:ascii="Arial" w:eastAsia="Times New Roman" w:hAnsi="Arial" w:cs="Arial"/>
          <w:bCs/>
        </w:rPr>
        <w:t xml:space="preserve"> </w:t>
      </w:r>
      <w:r w:rsidR="00ED4437">
        <w:rPr>
          <w:rFonts w:ascii="Arial" w:eastAsia="Times New Roman" w:hAnsi="Arial" w:cs="Arial"/>
          <w:bCs/>
        </w:rPr>
        <w:t>pour le</w:t>
      </w:r>
      <w:r w:rsidR="002921EB">
        <w:rPr>
          <w:rFonts w:ascii="Arial" w:eastAsia="Times New Roman" w:hAnsi="Arial" w:cs="Arial"/>
          <w:bCs/>
        </w:rPr>
        <w:t xml:space="preserve"> projet Brancher Antoine-Labelle de la MRC Antoine-Labelle et ce pour une période de </w:t>
      </w:r>
      <w:r w:rsidR="008A66CC">
        <w:rPr>
          <w:rFonts w:ascii="Arial" w:eastAsia="Times New Roman" w:hAnsi="Arial" w:cs="Arial"/>
          <w:bCs/>
        </w:rPr>
        <w:t>vingt</w:t>
      </w:r>
      <w:r w:rsidR="002921EB">
        <w:rPr>
          <w:rFonts w:ascii="Arial" w:eastAsia="Times New Roman" w:hAnsi="Arial" w:cs="Arial"/>
          <w:bCs/>
        </w:rPr>
        <w:t xml:space="preserve"> ans</w:t>
      </w:r>
      <w:r w:rsidR="005A6BDD">
        <w:rPr>
          <w:rFonts w:ascii="Arial" w:eastAsia="Times New Roman" w:hAnsi="Arial" w:cs="Arial"/>
          <w:bCs/>
        </w:rPr>
        <w:t xml:space="preserve"> à partir de l’année 2021</w:t>
      </w:r>
      <w:r w:rsidR="002921EB">
        <w:rPr>
          <w:rFonts w:ascii="Arial" w:eastAsia="Times New Roman" w:hAnsi="Arial" w:cs="Arial"/>
          <w:bCs/>
        </w:rPr>
        <w:t>.</w:t>
      </w:r>
    </w:p>
    <w:p w14:paraId="5E678911" w14:textId="77777777" w:rsidR="00A837BD" w:rsidRDefault="00A837BD" w:rsidP="00FD675D">
      <w:pPr>
        <w:tabs>
          <w:tab w:val="left" w:pos="567"/>
          <w:tab w:val="left" w:pos="5670"/>
        </w:tabs>
        <w:ind w:left="567" w:hanging="567"/>
        <w:jc w:val="both"/>
        <w:rPr>
          <w:rFonts w:ascii="Arial" w:eastAsia="Times New Roman" w:hAnsi="Arial" w:cs="Arial"/>
          <w:bCs/>
        </w:rPr>
      </w:pPr>
    </w:p>
    <w:p w14:paraId="32F2CA76" w14:textId="41C6225F" w:rsidR="00A837BD" w:rsidRPr="009C7F63" w:rsidRDefault="00A837BD" w:rsidP="00FD675D">
      <w:pPr>
        <w:tabs>
          <w:tab w:val="left" w:pos="567"/>
          <w:tab w:val="left" w:pos="5670"/>
        </w:tabs>
        <w:ind w:left="567" w:hanging="56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</w:p>
    <w:p w14:paraId="2B1580B5" w14:textId="77777777" w:rsidR="00FD675D" w:rsidRPr="00420795" w:rsidRDefault="00FD675D" w:rsidP="00FD675D">
      <w:pPr>
        <w:tabs>
          <w:tab w:val="left" w:pos="1418"/>
        </w:tabs>
        <w:jc w:val="both"/>
        <w:rPr>
          <w:rFonts w:ascii="Arial" w:eastAsia="Times New Roman" w:hAnsi="Arial" w:cs="Arial"/>
          <w:bCs/>
        </w:rPr>
      </w:pPr>
    </w:p>
    <w:p w14:paraId="72F77BC3" w14:textId="77777777" w:rsidR="00FD675D" w:rsidRPr="00420795" w:rsidRDefault="00FD675D" w:rsidP="00FD675D">
      <w:pPr>
        <w:tabs>
          <w:tab w:val="left" w:pos="1418"/>
        </w:tabs>
        <w:jc w:val="both"/>
        <w:rPr>
          <w:rFonts w:ascii="Arial" w:eastAsia="Times New Roman" w:hAnsi="Arial" w:cs="Arial"/>
        </w:rPr>
      </w:pPr>
      <w:r w:rsidRPr="00420795">
        <w:rPr>
          <w:rFonts w:ascii="Arial" w:eastAsia="Times New Roman" w:hAnsi="Arial" w:cs="Arial"/>
          <w:b/>
          <w:bCs/>
        </w:rPr>
        <w:t>ARTICLE 4</w:t>
      </w:r>
      <w:r w:rsidRPr="00420795">
        <w:rPr>
          <w:rFonts w:ascii="Arial" w:eastAsia="Times New Roman" w:hAnsi="Arial" w:cs="Arial"/>
          <w:b/>
          <w:bCs/>
        </w:rPr>
        <w:tab/>
      </w:r>
      <w:r w:rsidRPr="00420795">
        <w:rPr>
          <w:rFonts w:ascii="Arial" w:eastAsia="Times New Roman" w:hAnsi="Arial" w:cs="Arial"/>
          <w:u w:val="single"/>
        </w:rPr>
        <w:t>Service d’entretien du réseau d’aqueduc</w:t>
      </w:r>
    </w:p>
    <w:p w14:paraId="1B53EA25" w14:textId="77777777" w:rsidR="00FD675D" w:rsidRPr="00420795" w:rsidRDefault="00FD675D" w:rsidP="00FD675D">
      <w:pPr>
        <w:ind w:left="2268" w:hanging="2268"/>
        <w:jc w:val="both"/>
        <w:rPr>
          <w:rFonts w:ascii="Arial" w:eastAsia="Times New Roman" w:hAnsi="Arial" w:cs="Arial"/>
        </w:rPr>
      </w:pPr>
    </w:p>
    <w:p w14:paraId="7D4A3C1E" w14:textId="77777777" w:rsidR="00FD675D" w:rsidRPr="00420795" w:rsidRDefault="00FD675D" w:rsidP="00FD675D">
      <w:pPr>
        <w:jc w:val="both"/>
        <w:rPr>
          <w:rFonts w:ascii="Arial" w:eastAsia="Times New Roman" w:hAnsi="Arial" w:cs="Arial"/>
        </w:rPr>
      </w:pPr>
      <w:r w:rsidRPr="00420795">
        <w:rPr>
          <w:rFonts w:ascii="Arial" w:eastAsia="Times New Roman" w:hAnsi="Arial" w:cs="Arial"/>
        </w:rPr>
        <w:t>Par le présent règlement, il est établi une tarification pour le service d’entretien du réseau d’aqueduc. Les montants sont établis comme suit:</w:t>
      </w:r>
    </w:p>
    <w:p w14:paraId="23F15152" w14:textId="77777777" w:rsidR="00FD675D" w:rsidRPr="00420795" w:rsidRDefault="00FD675D" w:rsidP="00FD675D">
      <w:pPr>
        <w:ind w:left="2268" w:hanging="2268"/>
        <w:jc w:val="both"/>
        <w:rPr>
          <w:rFonts w:ascii="Arial" w:eastAsia="Times New Roman" w:hAnsi="Arial" w:cs="Arial"/>
        </w:rPr>
      </w:pPr>
      <w:r w:rsidRPr="00420795">
        <w:rPr>
          <w:rFonts w:ascii="Arial" w:eastAsia="Times New Roman" w:hAnsi="Arial" w:cs="Arial"/>
          <w:b/>
        </w:rPr>
        <w:tab/>
      </w:r>
    </w:p>
    <w:p w14:paraId="7BC98B88" w14:textId="77777777" w:rsidR="00FD675D" w:rsidRPr="009C7F63" w:rsidRDefault="00FD675D" w:rsidP="00FD675D">
      <w:pPr>
        <w:jc w:val="both"/>
        <w:rPr>
          <w:rFonts w:ascii="Arial" w:eastAsia="Times New Roman" w:hAnsi="Arial" w:cs="Arial"/>
        </w:rPr>
      </w:pPr>
      <w:r w:rsidRPr="009C7F63">
        <w:rPr>
          <w:rFonts w:ascii="Arial" w:eastAsia="Times New Roman" w:hAnsi="Arial" w:cs="Arial"/>
        </w:rPr>
        <w:t>Résidence (par logement): 2</w:t>
      </w:r>
      <w:r>
        <w:rPr>
          <w:rFonts w:ascii="Arial" w:eastAsia="Times New Roman" w:hAnsi="Arial" w:cs="Arial"/>
        </w:rPr>
        <w:t>60</w:t>
      </w:r>
      <w:r w:rsidRPr="009C7F63">
        <w:rPr>
          <w:rFonts w:ascii="Arial" w:eastAsia="Times New Roman" w:hAnsi="Arial" w:cs="Arial"/>
        </w:rPr>
        <w:t xml:space="preserve"> $</w:t>
      </w:r>
    </w:p>
    <w:p w14:paraId="7DFACAF3" w14:textId="77777777" w:rsidR="00FD675D" w:rsidRPr="009C7F63" w:rsidRDefault="00FD675D" w:rsidP="00FD675D">
      <w:pPr>
        <w:jc w:val="both"/>
        <w:rPr>
          <w:rFonts w:ascii="Arial" w:eastAsia="Times New Roman" w:hAnsi="Arial" w:cs="Arial"/>
        </w:rPr>
      </w:pPr>
      <w:r w:rsidRPr="009C7F63">
        <w:rPr>
          <w:rFonts w:ascii="Arial" w:eastAsia="Times New Roman" w:hAnsi="Arial" w:cs="Arial"/>
        </w:rPr>
        <w:t>Piscine: 55 $</w:t>
      </w:r>
    </w:p>
    <w:p w14:paraId="1948D7DF" w14:textId="77777777" w:rsidR="00FD675D" w:rsidRPr="009C7F63" w:rsidRDefault="00FD675D" w:rsidP="00FD675D">
      <w:pPr>
        <w:jc w:val="both"/>
        <w:rPr>
          <w:rFonts w:ascii="Arial" w:eastAsia="Times New Roman" w:hAnsi="Arial" w:cs="Arial"/>
        </w:rPr>
      </w:pPr>
      <w:r w:rsidRPr="009C7F63">
        <w:rPr>
          <w:rFonts w:ascii="Arial" w:eastAsia="Times New Roman" w:hAnsi="Arial" w:cs="Arial"/>
        </w:rPr>
        <w:t>Commerce: 2</w:t>
      </w:r>
      <w:r>
        <w:rPr>
          <w:rFonts w:ascii="Arial" w:eastAsia="Times New Roman" w:hAnsi="Arial" w:cs="Arial"/>
        </w:rPr>
        <w:t>70</w:t>
      </w:r>
      <w:r w:rsidRPr="009C7F63">
        <w:rPr>
          <w:rFonts w:ascii="Arial" w:eastAsia="Times New Roman" w:hAnsi="Arial" w:cs="Arial"/>
        </w:rPr>
        <w:t xml:space="preserve"> $</w:t>
      </w:r>
    </w:p>
    <w:p w14:paraId="1A8E48C7" w14:textId="77777777" w:rsidR="00FD675D" w:rsidRPr="009C7F63" w:rsidRDefault="00FD675D" w:rsidP="00FD675D">
      <w:pPr>
        <w:jc w:val="both"/>
        <w:rPr>
          <w:rFonts w:ascii="Arial" w:eastAsia="Times New Roman" w:hAnsi="Arial" w:cs="Arial"/>
        </w:rPr>
      </w:pPr>
      <w:r w:rsidRPr="009C7F63">
        <w:rPr>
          <w:rFonts w:ascii="Arial" w:eastAsia="Times New Roman" w:hAnsi="Arial" w:cs="Arial"/>
        </w:rPr>
        <w:t>Restaurant, hôtel: 2</w:t>
      </w:r>
      <w:r>
        <w:rPr>
          <w:rFonts w:ascii="Arial" w:eastAsia="Times New Roman" w:hAnsi="Arial" w:cs="Arial"/>
        </w:rPr>
        <w:t>95</w:t>
      </w:r>
      <w:r w:rsidRPr="009C7F63">
        <w:rPr>
          <w:rFonts w:ascii="Arial" w:eastAsia="Times New Roman" w:hAnsi="Arial" w:cs="Arial"/>
        </w:rPr>
        <w:t xml:space="preserve"> $</w:t>
      </w:r>
    </w:p>
    <w:p w14:paraId="5F8AA7B3" w14:textId="77777777" w:rsidR="00FD675D" w:rsidRPr="00F45C25" w:rsidRDefault="00FD675D" w:rsidP="00FD675D">
      <w:pPr>
        <w:jc w:val="both"/>
        <w:rPr>
          <w:rFonts w:ascii="Arial" w:eastAsia="Times New Roman" w:hAnsi="Arial" w:cs="Arial"/>
        </w:rPr>
      </w:pPr>
      <w:r w:rsidRPr="009C7F63">
        <w:rPr>
          <w:rFonts w:ascii="Arial" w:eastAsia="Times New Roman" w:hAnsi="Arial" w:cs="Arial"/>
        </w:rPr>
        <w:t xml:space="preserve">Motel (par unité): </w:t>
      </w:r>
      <w:r>
        <w:rPr>
          <w:rFonts w:ascii="Arial" w:eastAsia="Times New Roman" w:hAnsi="Arial" w:cs="Arial"/>
        </w:rPr>
        <w:t>55</w:t>
      </w:r>
      <w:r w:rsidRPr="009C7F63">
        <w:rPr>
          <w:rFonts w:ascii="Arial" w:eastAsia="Times New Roman" w:hAnsi="Arial" w:cs="Arial"/>
        </w:rPr>
        <w:t xml:space="preserve"> $</w:t>
      </w:r>
    </w:p>
    <w:p w14:paraId="65505AB6" w14:textId="77777777" w:rsidR="00FD675D" w:rsidRPr="009C7F63" w:rsidRDefault="00FD675D" w:rsidP="00FD675D">
      <w:pPr>
        <w:jc w:val="both"/>
        <w:rPr>
          <w:rFonts w:ascii="Arial" w:eastAsia="Times New Roman" w:hAnsi="Arial" w:cs="Arial"/>
          <w:b/>
        </w:rPr>
      </w:pPr>
    </w:p>
    <w:p w14:paraId="56B4EC68" w14:textId="77777777" w:rsidR="00FD675D" w:rsidRPr="009C7F63" w:rsidRDefault="00FD675D" w:rsidP="00FD675D">
      <w:pPr>
        <w:jc w:val="both"/>
        <w:rPr>
          <w:rFonts w:ascii="Arial" w:eastAsia="Times New Roman" w:hAnsi="Arial" w:cs="Arial"/>
        </w:rPr>
      </w:pPr>
      <w:r w:rsidRPr="009C7F63">
        <w:rPr>
          <w:rFonts w:ascii="Arial" w:eastAsia="Times New Roman" w:hAnsi="Arial" w:cs="Arial"/>
          <w:b/>
        </w:rPr>
        <w:t>ARTICLE 5</w:t>
      </w:r>
      <w:r w:rsidRPr="009C7F63">
        <w:rPr>
          <w:rFonts w:ascii="Arial" w:eastAsia="Times New Roman" w:hAnsi="Arial" w:cs="Arial"/>
        </w:rPr>
        <w:tab/>
      </w:r>
      <w:r w:rsidRPr="009C7F63">
        <w:rPr>
          <w:rFonts w:ascii="Arial" w:eastAsia="Times New Roman" w:hAnsi="Arial" w:cs="Arial"/>
          <w:u w:val="single"/>
        </w:rPr>
        <w:t>Service d’entretien du réseau d’égout</w:t>
      </w:r>
    </w:p>
    <w:p w14:paraId="75DE2805" w14:textId="77777777" w:rsidR="00FD675D" w:rsidRPr="009C7F63" w:rsidRDefault="00FD675D" w:rsidP="00FD675D">
      <w:pPr>
        <w:ind w:left="1418" w:hanging="1418"/>
        <w:jc w:val="both"/>
        <w:rPr>
          <w:rFonts w:ascii="Arial" w:eastAsia="Times New Roman" w:hAnsi="Arial" w:cs="Arial"/>
        </w:rPr>
      </w:pPr>
      <w:r w:rsidRPr="009C7F63">
        <w:rPr>
          <w:rFonts w:ascii="Arial" w:eastAsia="Times New Roman" w:hAnsi="Arial" w:cs="Arial"/>
        </w:rPr>
        <w:t xml:space="preserve"> </w:t>
      </w:r>
    </w:p>
    <w:p w14:paraId="66B24AA4" w14:textId="2DCBB802" w:rsidR="00FD675D" w:rsidRDefault="00FD675D" w:rsidP="00FD675D">
      <w:pPr>
        <w:jc w:val="both"/>
        <w:rPr>
          <w:rFonts w:ascii="Arial" w:eastAsia="Times New Roman" w:hAnsi="Arial" w:cs="Arial"/>
        </w:rPr>
      </w:pPr>
      <w:r w:rsidRPr="009C7F63">
        <w:rPr>
          <w:rFonts w:ascii="Arial" w:eastAsia="Times New Roman" w:hAnsi="Arial" w:cs="Arial"/>
        </w:rPr>
        <w:t xml:space="preserve">Par le présent règlement, il est établi une tarification pour le service d’entretien du réseau d’égout, au montant de </w:t>
      </w:r>
      <w:r>
        <w:rPr>
          <w:rFonts w:ascii="Arial" w:eastAsia="Times New Roman" w:hAnsi="Arial" w:cs="Arial"/>
        </w:rPr>
        <w:t>300</w:t>
      </w:r>
      <w:r w:rsidRPr="009C7F63">
        <w:rPr>
          <w:rFonts w:ascii="Arial" w:eastAsia="Times New Roman" w:hAnsi="Arial" w:cs="Arial"/>
        </w:rPr>
        <w:t xml:space="preserve"> $ pour chaque logement, résidence</w:t>
      </w:r>
      <w:r>
        <w:rPr>
          <w:rFonts w:ascii="Arial" w:eastAsia="Times New Roman" w:hAnsi="Arial" w:cs="Arial"/>
        </w:rPr>
        <w:t xml:space="preserve"> et un montant de 300 $</w:t>
      </w:r>
      <w:r w:rsidRPr="009C7F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pour tout </w:t>
      </w:r>
      <w:r w:rsidRPr="009C7F63">
        <w:rPr>
          <w:rFonts w:ascii="Arial" w:eastAsia="Times New Roman" w:hAnsi="Arial" w:cs="Arial"/>
        </w:rPr>
        <w:t>commerce ou autre place publique desservis par ce</w:t>
      </w:r>
      <w:r w:rsidRPr="00420795">
        <w:rPr>
          <w:rFonts w:ascii="Arial" w:eastAsia="Times New Roman" w:hAnsi="Arial" w:cs="Arial"/>
        </w:rPr>
        <w:t xml:space="preserve"> réseau.</w:t>
      </w:r>
    </w:p>
    <w:p w14:paraId="7B5EE157" w14:textId="01F7C4CA" w:rsidR="00FD675D" w:rsidRDefault="00FD675D" w:rsidP="00FD675D">
      <w:pPr>
        <w:jc w:val="both"/>
        <w:rPr>
          <w:rFonts w:ascii="Arial" w:eastAsia="Times New Roman" w:hAnsi="Arial" w:cs="Arial"/>
        </w:rPr>
      </w:pPr>
    </w:p>
    <w:p w14:paraId="6676A807" w14:textId="77777777" w:rsidR="00FD675D" w:rsidRDefault="00FD675D" w:rsidP="00FD675D">
      <w:pPr>
        <w:suppressAutoHyphens/>
        <w:jc w:val="both"/>
        <w:rPr>
          <w:rFonts w:ascii="Arial" w:eastAsia="Times New Roman" w:hAnsi="Arial" w:cs="Arial"/>
          <w:u w:val="single"/>
        </w:rPr>
      </w:pPr>
      <w:r w:rsidRPr="00420795">
        <w:rPr>
          <w:rFonts w:ascii="Arial" w:eastAsia="Times New Roman" w:hAnsi="Arial" w:cs="Arial"/>
          <w:b/>
        </w:rPr>
        <w:t>ARTICLE 6</w:t>
      </w:r>
      <w:r w:rsidRPr="00420795">
        <w:rPr>
          <w:rFonts w:ascii="Arial" w:eastAsia="Times New Roman" w:hAnsi="Arial" w:cs="Arial"/>
        </w:rPr>
        <w:tab/>
      </w:r>
      <w:r w:rsidRPr="00420795">
        <w:rPr>
          <w:rFonts w:ascii="Arial" w:eastAsia="Times New Roman" w:hAnsi="Arial" w:cs="Arial"/>
          <w:u w:val="single"/>
        </w:rPr>
        <w:t>Service de collecte et de transport des matières résiduelles, recy</w:t>
      </w:r>
      <w:r>
        <w:rPr>
          <w:rFonts w:ascii="Arial" w:eastAsia="Times New Roman" w:hAnsi="Arial" w:cs="Arial"/>
          <w:u w:val="single"/>
        </w:rPr>
        <w:t>clables et </w:t>
      </w:r>
      <w:r w:rsidRPr="00420795">
        <w:rPr>
          <w:rFonts w:ascii="Arial" w:eastAsia="Times New Roman" w:hAnsi="Arial" w:cs="Arial"/>
          <w:u w:val="single"/>
        </w:rPr>
        <w:t>organiques</w:t>
      </w:r>
    </w:p>
    <w:p w14:paraId="7118F499" w14:textId="77777777" w:rsidR="00FD675D" w:rsidRDefault="00FD675D" w:rsidP="00FD675D">
      <w:pPr>
        <w:suppressAutoHyphens/>
        <w:ind w:left="1418" w:hanging="1418"/>
        <w:jc w:val="both"/>
        <w:rPr>
          <w:rFonts w:ascii="Arial" w:eastAsia="Times New Roman" w:hAnsi="Arial" w:cs="Arial"/>
        </w:rPr>
      </w:pPr>
    </w:p>
    <w:p w14:paraId="656C8C8A" w14:textId="22F86AEF" w:rsidR="00FD675D" w:rsidRDefault="00FD675D" w:rsidP="00FD675D">
      <w:pPr>
        <w:suppressAutoHyphens/>
        <w:ind w:left="1418" w:hanging="141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</w:t>
      </w:r>
      <w:r w:rsidRPr="00420795">
        <w:rPr>
          <w:rFonts w:ascii="Arial" w:eastAsia="Times New Roman" w:hAnsi="Arial" w:cs="Arial"/>
        </w:rPr>
        <w:t>ar le présent règlement, il est établi une tarification pour le service de collecte et de</w:t>
      </w:r>
      <w:r w:rsidR="00E67597">
        <w:rPr>
          <w:rFonts w:ascii="Arial" w:eastAsia="Times New Roman" w:hAnsi="Arial" w:cs="Arial"/>
        </w:rPr>
        <w:t xml:space="preserve"> </w:t>
      </w:r>
      <w:r w:rsidRPr="00420795">
        <w:rPr>
          <w:rFonts w:ascii="Arial" w:eastAsia="Times New Roman" w:hAnsi="Arial" w:cs="Arial"/>
        </w:rPr>
        <w:t xml:space="preserve">transport des matières résiduelles, recyclables et organiques. </w:t>
      </w:r>
      <w:r>
        <w:rPr>
          <w:rFonts w:ascii="Arial" w:eastAsia="Times New Roman" w:hAnsi="Arial" w:cs="Arial"/>
        </w:rPr>
        <w:t>Les montants sont établis comme </w:t>
      </w:r>
      <w:r w:rsidRPr="00420795">
        <w:rPr>
          <w:rFonts w:ascii="Arial" w:eastAsia="Times New Roman" w:hAnsi="Arial" w:cs="Arial"/>
        </w:rPr>
        <w:t>suit:</w:t>
      </w:r>
    </w:p>
    <w:p w14:paraId="105866D3" w14:textId="77777777" w:rsidR="00FD675D" w:rsidRDefault="00FD675D" w:rsidP="00FD675D">
      <w:pPr>
        <w:suppressAutoHyphens/>
        <w:ind w:left="1418" w:hanging="1418"/>
        <w:jc w:val="both"/>
        <w:rPr>
          <w:rFonts w:ascii="Arial" w:eastAsia="Times New Roman" w:hAnsi="Arial" w:cs="Arial"/>
        </w:rPr>
      </w:pPr>
    </w:p>
    <w:p w14:paraId="2A6D5437" w14:textId="77777777" w:rsidR="00FD675D" w:rsidRPr="009C7F63" w:rsidRDefault="00FD675D" w:rsidP="00FD675D">
      <w:pPr>
        <w:jc w:val="both"/>
        <w:rPr>
          <w:rFonts w:ascii="Arial" w:eastAsia="Times New Roman" w:hAnsi="Arial" w:cs="Arial"/>
        </w:rPr>
      </w:pPr>
      <w:r w:rsidRPr="009C7F63">
        <w:rPr>
          <w:rFonts w:ascii="Arial" w:eastAsia="Times New Roman" w:hAnsi="Arial" w:cs="Arial"/>
        </w:rPr>
        <w:t>Résidence saisonnière: 1</w:t>
      </w:r>
      <w:r>
        <w:rPr>
          <w:rFonts w:ascii="Arial" w:eastAsia="Times New Roman" w:hAnsi="Arial" w:cs="Arial"/>
        </w:rPr>
        <w:t>95</w:t>
      </w:r>
      <w:r w:rsidRPr="009C7F63">
        <w:rPr>
          <w:rFonts w:ascii="Arial" w:eastAsia="Times New Roman" w:hAnsi="Arial" w:cs="Arial"/>
        </w:rPr>
        <w:t xml:space="preserve"> $</w:t>
      </w:r>
    </w:p>
    <w:p w14:paraId="3F449839" w14:textId="77777777" w:rsidR="00FD675D" w:rsidRPr="009C7F63" w:rsidRDefault="00FD675D" w:rsidP="00FD675D">
      <w:pPr>
        <w:jc w:val="both"/>
        <w:rPr>
          <w:rFonts w:ascii="Arial" w:eastAsia="Times New Roman" w:hAnsi="Arial" w:cs="Arial"/>
        </w:rPr>
      </w:pPr>
      <w:r w:rsidRPr="009C7F63">
        <w:rPr>
          <w:rFonts w:ascii="Arial" w:eastAsia="Times New Roman" w:hAnsi="Arial" w:cs="Arial"/>
        </w:rPr>
        <w:t>Résidence permanente (par logement): 1</w:t>
      </w:r>
      <w:r>
        <w:rPr>
          <w:rFonts w:ascii="Arial" w:eastAsia="Times New Roman" w:hAnsi="Arial" w:cs="Arial"/>
        </w:rPr>
        <w:t>95</w:t>
      </w:r>
      <w:r w:rsidRPr="009C7F63">
        <w:rPr>
          <w:rFonts w:ascii="Arial" w:eastAsia="Times New Roman" w:hAnsi="Arial" w:cs="Arial"/>
        </w:rPr>
        <w:t xml:space="preserve"> $</w:t>
      </w:r>
    </w:p>
    <w:p w14:paraId="45909F2B" w14:textId="77777777" w:rsidR="00FD675D" w:rsidRPr="009C7F63" w:rsidRDefault="00FD675D" w:rsidP="00FD675D">
      <w:pPr>
        <w:jc w:val="both"/>
        <w:rPr>
          <w:rFonts w:ascii="Arial" w:eastAsia="Times New Roman" w:hAnsi="Arial" w:cs="Arial"/>
        </w:rPr>
      </w:pPr>
      <w:r w:rsidRPr="009C7F63">
        <w:rPr>
          <w:rFonts w:ascii="Arial" w:eastAsia="Times New Roman" w:hAnsi="Arial" w:cs="Arial"/>
        </w:rPr>
        <w:t>Commerce: 25</w:t>
      </w:r>
      <w:r>
        <w:rPr>
          <w:rFonts w:ascii="Arial" w:eastAsia="Times New Roman" w:hAnsi="Arial" w:cs="Arial"/>
        </w:rPr>
        <w:t>5</w:t>
      </w:r>
      <w:r w:rsidRPr="009C7F63">
        <w:rPr>
          <w:rFonts w:ascii="Arial" w:eastAsia="Times New Roman" w:hAnsi="Arial" w:cs="Arial"/>
        </w:rPr>
        <w:t xml:space="preserve"> $</w:t>
      </w:r>
    </w:p>
    <w:p w14:paraId="58371401" w14:textId="692165B5" w:rsidR="00FD675D" w:rsidRDefault="00FD675D" w:rsidP="00FD675D">
      <w:pPr>
        <w:jc w:val="both"/>
        <w:rPr>
          <w:rFonts w:ascii="Arial" w:eastAsia="Times New Roman" w:hAnsi="Arial" w:cs="Arial"/>
        </w:rPr>
      </w:pPr>
      <w:r w:rsidRPr="009C7F63">
        <w:rPr>
          <w:rFonts w:ascii="Arial" w:eastAsia="Times New Roman" w:hAnsi="Arial" w:cs="Arial"/>
        </w:rPr>
        <w:t>Pourvoirie (par chalet): 1</w:t>
      </w:r>
      <w:r>
        <w:rPr>
          <w:rFonts w:ascii="Arial" w:eastAsia="Times New Roman" w:hAnsi="Arial" w:cs="Arial"/>
        </w:rPr>
        <w:t>70</w:t>
      </w:r>
      <w:r w:rsidRPr="009C7F63">
        <w:rPr>
          <w:rFonts w:ascii="Arial" w:eastAsia="Times New Roman" w:hAnsi="Arial" w:cs="Arial"/>
        </w:rPr>
        <w:t xml:space="preserve"> $</w:t>
      </w:r>
    </w:p>
    <w:p w14:paraId="4147D0BB" w14:textId="7B1F790F" w:rsidR="002921EB" w:rsidRDefault="002921EB" w:rsidP="00FD675D">
      <w:pPr>
        <w:jc w:val="both"/>
        <w:rPr>
          <w:rFonts w:ascii="Arial" w:eastAsia="Times New Roman" w:hAnsi="Arial" w:cs="Arial"/>
        </w:rPr>
      </w:pPr>
    </w:p>
    <w:p w14:paraId="01744092" w14:textId="63DDC7ED" w:rsidR="002921EB" w:rsidRDefault="002921EB" w:rsidP="00FD675D">
      <w:pPr>
        <w:jc w:val="both"/>
        <w:rPr>
          <w:rFonts w:ascii="Arial" w:eastAsia="Times New Roman" w:hAnsi="Arial" w:cs="Arial"/>
        </w:rPr>
      </w:pPr>
    </w:p>
    <w:p w14:paraId="4E4BB35A" w14:textId="492C6A59" w:rsidR="002921EB" w:rsidRDefault="002921EB" w:rsidP="00FD675D">
      <w:pPr>
        <w:jc w:val="both"/>
        <w:rPr>
          <w:rFonts w:ascii="Arial" w:eastAsia="Times New Roman" w:hAnsi="Arial" w:cs="Arial"/>
        </w:rPr>
      </w:pPr>
    </w:p>
    <w:p w14:paraId="47F8AC54" w14:textId="29F7DDBF" w:rsidR="002921EB" w:rsidRDefault="002921EB" w:rsidP="00FD675D">
      <w:pPr>
        <w:jc w:val="both"/>
        <w:rPr>
          <w:rFonts w:ascii="Arial" w:eastAsia="Times New Roman" w:hAnsi="Arial" w:cs="Arial"/>
        </w:rPr>
      </w:pPr>
    </w:p>
    <w:p w14:paraId="2502A9F3" w14:textId="77777777" w:rsidR="002921EB" w:rsidRPr="00420795" w:rsidRDefault="002921EB" w:rsidP="00FD675D">
      <w:pPr>
        <w:jc w:val="both"/>
        <w:rPr>
          <w:rFonts w:ascii="Arial" w:eastAsia="Times New Roman" w:hAnsi="Arial" w:cs="Arial"/>
        </w:rPr>
      </w:pPr>
    </w:p>
    <w:p w14:paraId="3720A16F" w14:textId="77777777" w:rsidR="00FD675D" w:rsidRPr="00420795" w:rsidRDefault="00FD675D" w:rsidP="00E67597">
      <w:pPr>
        <w:tabs>
          <w:tab w:val="left" w:pos="1418"/>
        </w:tabs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b/>
        </w:rPr>
        <w:lastRenderedPageBreak/>
        <w:t>ARTICLE 7</w:t>
      </w:r>
      <w:r w:rsidRPr="00420795">
        <w:rPr>
          <w:rFonts w:ascii="Arial" w:eastAsia="Times New Roman" w:hAnsi="Arial" w:cs="Arial"/>
          <w:b/>
        </w:rPr>
        <w:tab/>
      </w:r>
      <w:r w:rsidRPr="00F626B3">
        <w:rPr>
          <w:rFonts w:ascii="Arial" w:eastAsia="Times New Roman" w:hAnsi="Arial" w:cs="Arial"/>
          <w:u w:val="single"/>
        </w:rPr>
        <w:t>Paiement par versements</w:t>
      </w:r>
    </w:p>
    <w:p w14:paraId="79DDE2E8" w14:textId="77777777" w:rsidR="00FD675D" w:rsidRPr="00420795" w:rsidRDefault="00FD675D" w:rsidP="00FD675D">
      <w:pPr>
        <w:tabs>
          <w:tab w:val="left" w:pos="1276"/>
        </w:tabs>
        <w:ind w:left="2268" w:hanging="2268"/>
        <w:jc w:val="both"/>
        <w:rPr>
          <w:rFonts w:ascii="Arial" w:eastAsia="Times New Roman" w:hAnsi="Arial" w:cs="Arial"/>
        </w:rPr>
      </w:pPr>
    </w:p>
    <w:p w14:paraId="5056D857" w14:textId="77777777" w:rsidR="00FD675D" w:rsidRPr="00420795" w:rsidRDefault="00FD675D" w:rsidP="00FD675D">
      <w:pPr>
        <w:tabs>
          <w:tab w:val="left" w:pos="5049"/>
        </w:tabs>
        <w:rPr>
          <w:rFonts w:ascii="Arial" w:eastAsia="Times New Roman" w:hAnsi="Arial" w:cs="Arial"/>
          <w:iCs/>
        </w:rPr>
      </w:pPr>
      <w:r w:rsidRPr="00420795">
        <w:rPr>
          <w:rFonts w:ascii="Arial" w:eastAsia="Times New Roman" w:hAnsi="Arial" w:cs="Arial"/>
          <w:iCs/>
        </w:rPr>
        <w:t>Les taxes doivent être payées en un versement unique.</w:t>
      </w:r>
    </w:p>
    <w:p w14:paraId="2EB65766" w14:textId="77777777" w:rsidR="00FD675D" w:rsidRPr="00420795" w:rsidRDefault="00FD675D" w:rsidP="00FD675D">
      <w:pPr>
        <w:tabs>
          <w:tab w:val="left" w:pos="5049"/>
        </w:tabs>
        <w:rPr>
          <w:rFonts w:ascii="Arial" w:eastAsia="Times New Roman" w:hAnsi="Arial" w:cs="Arial"/>
          <w:iCs/>
        </w:rPr>
      </w:pPr>
    </w:p>
    <w:p w14:paraId="2443BD12" w14:textId="77777777" w:rsidR="00FD675D" w:rsidRPr="00420795" w:rsidRDefault="00FD675D" w:rsidP="00FD675D">
      <w:pPr>
        <w:tabs>
          <w:tab w:val="left" w:pos="5049"/>
        </w:tabs>
        <w:jc w:val="both"/>
        <w:rPr>
          <w:rFonts w:ascii="Arial" w:eastAsia="Times New Roman" w:hAnsi="Arial" w:cs="Arial"/>
          <w:iCs/>
        </w:rPr>
      </w:pPr>
      <w:r w:rsidRPr="00420795">
        <w:rPr>
          <w:rFonts w:ascii="Arial" w:eastAsia="Times New Roman" w:hAnsi="Arial" w:cs="Arial"/>
          <w:iCs/>
        </w:rPr>
        <w:t xml:space="preserve">Toutefois, lorsque le total des taxes est égal ou supérieur à 300 $, celles-ci peuvent être payées, au choix du débiteur, en un versement </w:t>
      </w:r>
      <w:r w:rsidRPr="00F626B3">
        <w:rPr>
          <w:rFonts w:ascii="Arial" w:eastAsia="Times New Roman" w:hAnsi="Arial" w:cs="Arial"/>
          <w:iCs/>
        </w:rPr>
        <w:t>unique ou en quatre versements égaux.</w:t>
      </w:r>
    </w:p>
    <w:p w14:paraId="55B92D49" w14:textId="77777777" w:rsidR="00FD675D" w:rsidRPr="00392650" w:rsidRDefault="00FD675D" w:rsidP="00FD675D">
      <w:pPr>
        <w:tabs>
          <w:tab w:val="left" w:pos="1276"/>
        </w:tabs>
        <w:ind w:left="2268" w:hanging="2268"/>
        <w:jc w:val="both"/>
        <w:rPr>
          <w:rFonts w:ascii="Arial" w:eastAsia="Times New Roman" w:hAnsi="Arial" w:cs="Arial"/>
          <w:i/>
        </w:rPr>
      </w:pPr>
      <w:r w:rsidRPr="00420795">
        <w:rPr>
          <w:rFonts w:ascii="Arial" w:eastAsia="Times New Roman" w:hAnsi="Arial" w:cs="Arial"/>
          <w:i/>
        </w:rPr>
        <w:tab/>
      </w:r>
    </w:p>
    <w:p w14:paraId="3C0B29E1" w14:textId="77777777" w:rsidR="00FD675D" w:rsidRPr="00420795" w:rsidRDefault="00FD675D" w:rsidP="00FD675D">
      <w:pPr>
        <w:tabs>
          <w:tab w:val="left" w:pos="1418"/>
          <w:tab w:val="left" w:pos="5049"/>
        </w:tabs>
        <w:rPr>
          <w:rFonts w:ascii="Arial" w:eastAsia="Times New Roman" w:hAnsi="Arial" w:cs="Arial"/>
          <w:bCs/>
          <w:iCs/>
          <w:u w:val="single"/>
        </w:rPr>
      </w:pPr>
      <w:r>
        <w:rPr>
          <w:rFonts w:ascii="Arial" w:eastAsia="Times New Roman" w:hAnsi="Arial" w:cs="Arial"/>
          <w:b/>
          <w:bCs/>
          <w:iCs/>
        </w:rPr>
        <w:t>ARTICLE 8</w:t>
      </w:r>
      <w:r w:rsidRPr="00420795">
        <w:rPr>
          <w:rFonts w:ascii="Arial" w:eastAsia="Times New Roman" w:hAnsi="Arial" w:cs="Arial"/>
          <w:b/>
          <w:bCs/>
          <w:iCs/>
        </w:rPr>
        <w:tab/>
      </w:r>
      <w:r w:rsidRPr="00420795">
        <w:rPr>
          <w:rFonts w:ascii="Arial" w:eastAsia="Times New Roman" w:hAnsi="Arial" w:cs="Arial"/>
          <w:bCs/>
          <w:iCs/>
          <w:u w:val="single"/>
        </w:rPr>
        <w:t>Date des versements</w:t>
      </w:r>
    </w:p>
    <w:p w14:paraId="135266D8" w14:textId="77777777" w:rsidR="00FD675D" w:rsidRPr="00420795" w:rsidRDefault="00FD675D" w:rsidP="00FD675D">
      <w:pPr>
        <w:tabs>
          <w:tab w:val="left" w:pos="5049"/>
        </w:tabs>
        <w:rPr>
          <w:rFonts w:ascii="Arial" w:eastAsia="Times New Roman" w:hAnsi="Arial" w:cs="Arial"/>
          <w:iCs/>
        </w:rPr>
      </w:pPr>
    </w:p>
    <w:p w14:paraId="5B403898" w14:textId="216A78E6" w:rsidR="00FD675D" w:rsidRPr="00420795" w:rsidRDefault="00FD675D" w:rsidP="00FD675D">
      <w:pPr>
        <w:tabs>
          <w:tab w:val="left" w:pos="5049"/>
        </w:tabs>
        <w:jc w:val="both"/>
        <w:rPr>
          <w:rFonts w:ascii="Arial" w:eastAsia="Times New Roman" w:hAnsi="Arial" w:cs="Arial"/>
          <w:iCs/>
        </w:rPr>
      </w:pPr>
      <w:r w:rsidRPr="00420795">
        <w:rPr>
          <w:rFonts w:ascii="Arial" w:eastAsia="Times New Roman" w:hAnsi="Arial" w:cs="Arial"/>
          <w:iCs/>
        </w:rPr>
        <w:t xml:space="preserve">Le versement unique ou le premier versement des taxes foncières municipales doit être effectué au plus tard le trentième jour qui suit l’expédition du compte. </w:t>
      </w:r>
    </w:p>
    <w:p w14:paraId="49C80E0A" w14:textId="77777777" w:rsidR="00FD675D" w:rsidRPr="00420795" w:rsidRDefault="00FD675D" w:rsidP="00FD675D">
      <w:pPr>
        <w:tabs>
          <w:tab w:val="left" w:pos="5049"/>
        </w:tabs>
        <w:rPr>
          <w:rFonts w:ascii="Arial" w:eastAsia="Times New Roman" w:hAnsi="Arial" w:cs="Arial"/>
          <w:iCs/>
        </w:rPr>
      </w:pPr>
    </w:p>
    <w:p w14:paraId="1ACF61EA" w14:textId="77777777" w:rsidR="00FD675D" w:rsidRPr="00420795" w:rsidRDefault="00FD675D" w:rsidP="00FD675D">
      <w:pPr>
        <w:tabs>
          <w:tab w:val="left" w:pos="5049"/>
        </w:tabs>
        <w:jc w:val="both"/>
        <w:rPr>
          <w:rFonts w:ascii="Arial" w:eastAsia="Times New Roman" w:hAnsi="Arial" w:cs="Arial"/>
          <w:iCs/>
        </w:rPr>
      </w:pPr>
      <w:r w:rsidRPr="00420795">
        <w:rPr>
          <w:rFonts w:ascii="Arial" w:eastAsia="Times New Roman" w:hAnsi="Arial" w:cs="Arial"/>
          <w:iCs/>
        </w:rPr>
        <w:t>Le deuxième versement doit</w:t>
      </w:r>
      <w:r>
        <w:rPr>
          <w:rFonts w:ascii="Arial" w:eastAsia="Times New Roman" w:hAnsi="Arial" w:cs="Arial"/>
          <w:iCs/>
        </w:rPr>
        <w:t xml:space="preserve"> être effectué au plus tard le </w:t>
      </w:r>
      <w:r w:rsidRPr="00420795">
        <w:rPr>
          <w:rFonts w:ascii="Arial" w:eastAsia="Times New Roman" w:hAnsi="Arial" w:cs="Arial"/>
          <w:iCs/>
        </w:rPr>
        <w:t>quatre-vingt-dixième jour qui suit le trentième jour de l’expédition du compte.</w:t>
      </w:r>
    </w:p>
    <w:p w14:paraId="20EBFE0A" w14:textId="77777777" w:rsidR="00FD675D" w:rsidRPr="00420795" w:rsidRDefault="00FD675D" w:rsidP="00FD675D">
      <w:pPr>
        <w:tabs>
          <w:tab w:val="left" w:pos="5049"/>
        </w:tabs>
        <w:rPr>
          <w:rFonts w:ascii="Arial" w:eastAsia="Times New Roman" w:hAnsi="Arial" w:cs="Arial"/>
          <w:iCs/>
        </w:rPr>
      </w:pPr>
    </w:p>
    <w:p w14:paraId="187D89AC" w14:textId="77777777" w:rsidR="00FD675D" w:rsidRDefault="00FD675D" w:rsidP="00FD675D">
      <w:pPr>
        <w:tabs>
          <w:tab w:val="left" w:pos="5049"/>
        </w:tabs>
        <w:jc w:val="both"/>
        <w:rPr>
          <w:rFonts w:ascii="Arial" w:eastAsia="Times New Roman" w:hAnsi="Arial" w:cs="Arial"/>
          <w:iCs/>
        </w:rPr>
      </w:pPr>
      <w:bookmarkStart w:id="2" w:name="_Hlk26885952"/>
      <w:r w:rsidRPr="00420795">
        <w:rPr>
          <w:rFonts w:ascii="Arial" w:eastAsia="Times New Roman" w:hAnsi="Arial" w:cs="Arial"/>
          <w:iCs/>
        </w:rPr>
        <w:t>Le troisième versement doit être effectué au plus tard le quatre-vingt-dixième jour qui suit l’écoulement du délai au cours duquel peut être effectué le deuxième versement.</w:t>
      </w:r>
    </w:p>
    <w:bookmarkEnd w:id="2"/>
    <w:p w14:paraId="23173C44" w14:textId="77777777" w:rsidR="00FD675D" w:rsidRDefault="00FD675D" w:rsidP="00FD675D">
      <w:pPr>
        <w:tabs>
          <w:tab w:val="left" w:pos="5049"/>
        </w:tabs>
        <w:jc w:val="both"/>
        <w:rPr>
          <w:rFonts w:ascii="Arial" w:eastAsia="Times New Roman" w:hAnsi="Arial" w:cs="Arial"/>
          <w:iCs/>
        </w:rPr>
      </w:pPr>
    </w:p>
    <w:p w14:paraId="4D6FB9B2" w14:textId="77777777" w:rsidR="00FD675D" w:rsidRDefault="00FD675D" w:rsidP="00FD675D">
      <w:pPr>
        <w:tabs>
          <w:tab w:val="left" w:pos="5049"/>
        </w:tabs>
        <w:jc w:val="both"/>
        <w:rPr>
          <w:rFonts w:ascii="Arial" w:eastAsia="Times New Roman" w:hAnsi="Arial" w:cs="Arial"/>
          <w:iCs/>
        </w:rPr>
      </w:pPr>
      <w:r w:rsidRPr="00420795">
        <w:rPr>
          <w:rFonts w:ascii="Arial" w:eastAsia="Times New Roman" w:hAnsi="Arial" w:cs="Arial"/>
          <w:iCs/>
        </w:rPr>
        <w:t xml:space="preserve">Le </w:t>
      </w:r>
      <w:r>
        <w:rPr>
          <w:rFonts w:ascii="Arial" w:eastAsia="Times New Roman" w:hAnsi="Arial" w:cs="Arial"/>
          <w:iCs/>
        </w:rPr>
        <w:t>quatrième</w:t>
      </w:r>
      <w:r w:rsidRPr="00420795">
        <w:rPr>
          <w:rFonts w:ascii="Arial" w:eastAsia="Times New Roman" w:hAnsi="Arial" w:cs="Arial"/>
          <w:iCs/>
        </w:rPr>
        <w:t xml:space="preserve"> versement doit être effectué au plus tard le quatre-vingt-dixième jour qui suit l’écoulement du délai au cours duquel peut être effectué le </w:t>
      </w:r>
      <w:r>
        <w:rPr>
          <w:rFonts w:ascii="Arial" w:eastAsia="Times New Roman" w:hAnsi="Arial" w:cs="Arial"/>
          <w:iCs/>
        </w:rPr>
        <w:t>troisième</w:t>
      </w:r>
      <w:r w:rsidRPr="00420795">
        <w:rPr>
          <w:rFonts w:ascii="Arial" w:eastAsia="Times New Roman" w:hAnsi="Arial" w:cs="Arial"/>
          <w:iCs/>
        </w:rPr>
        <w:t xml:space="preserve"> versement.</w:t>
      </w:r>
    </w:p>
    <w:p w14:paraId="24D85F1B" w14:textId="77777777" w:rsidR="00FD675D" w:rsidRPr="00420795" w:rsidRDefault="00FD675D" w:rsidP="00FD675D">
      <w:pPr>
        <w:tabs>
          <w:tab w:val="left" w:pos="5049"/>
        </w:tabs>
        <w:jc w:val="both"/>
        <w:rPr>
          <w:rFonts w:ascii="Arial" w:eastAsia="Times New Roman" w:hAnsi="Arial" w:cs="Arial"/>
          <w:iCs/>
        </w:rPr>
      </w:pPr>
    </w:p>
    <w:p w14:paraId="1BC56641" w14:textId="48A8DE8E" w:rsidR="00FD675D" w:rsidRPr="00420795" w:rsidRDefault="00FD675D" w:rsidP="00FD675D">
      <w:pPr>
        <w:tabs>
          <w:tab w:val="left" w:pos="5049"/>
        </w:tabs>
        <w:jc w:val="both"/>
        <w:rPr>
          <w:rFonts w:ascii="Arial" w:eastAsia="Times New Roman" w:hAnsi="Arial" w:cs="Arial"/>
          <w:iCs/>
        </w:rPr>
      </w:pPr>
      <w:r w:rsidRPr="00420795">
        <w:rPr>
          <w:rFonts w:ascii="Arial" w:eastAsia="Times New Roman" w:hAnsi="Arial" w:cs="Arial"/>
          <w:iCs/>
        </w:rPr>
        <w:t>Toutefois, le directeur général secrétaire-trésorier est autorisé à allonger le délai de paiement en fixant une autre date ultime où peut être fait le versement unique ou chacun des</w:t>
      </w:r>
      <w:r>
        <w:rPr>
          <w:rFonts w:ascii="Arial" w:eastAsia="Times New Roman" w:hAnsi="Arial" w:cs="Arial"/>
          <w:iCs/>
        </w:rPr>
        <w:t xml:space="preserve"> </w:t>
      </w:r>
      <w:r w:rsidRPr="00420795">
        <w:rPr>
          <w:rFonts w:ascii="Arial" w:eastAsia="Times New Roman" w:hAnsi="Arial" w:cs="Arial"/>
          <w:iCs/>
        </w:rPr>
        <w:t>versements égaux afin de tenir compte des jours fériés et des fins de semaine.</w:t>
      </w:r>
    </w:p>
    <w:p w14:paraId="7EF07E1D" w14:textId="77777777" w:rsidR="00FD675D" w:rsidRPr="00420795" w:rsidRDefault="00FD675D" w:rsidP="00FD675D">
      <w:pPr>
        <w:jc w:val="both"/>
        <w:rPr>
          <w:rFonts w:ascii="Arial" w:eastAsia="Times New Roman" w:hAnsi="Arial" w:cs="Arial"/>
        </w:rPr>
      </w:pPr>
    </w:p>
    <w:p w14:paraId="6B2308B5" w14:textId="77777777" w:rsidR="00FD675D" w:rsidRPr="00420795" w:rsidRDefault="00FD675D" w:rsidP="00FD675D">
      <w:pPr>
        <w:tabs>
          <w:tab w:val="left" w:pos="1418"/>
          <w:tab w:val="left" w:pos="2268"/>
        </w:tabs>
        <w:ind w:left="2268" w:hanging="2268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b/>
        </w:rPr>
        <w:t>ARTICLE 9</w:t>
      </w:r>
      <w:r w:rsidRPr="00420795">
        <w:rPr>
          <w:rFonts w:ascii="Arial" w:eastAsia="Times New Roman" w:hAnsi="Arial" w:cs="Arial"/>
          <w:b/>
        </w:rPr>
        <w:tab/>
      </w:r>
      <w:r w:rsidRPr="00420795">
        <w:rPr>
          <w:rFonts w:ascii="Arial" w:eastAsia="Times New Roman" w:hAnsi="Arial" w:cs="Arial"/>
          <w:u w:val="single"/>
        </w:rPr>
        <w:t>Paiement pour les services</w:t>
      </w:r>
    </w:p>
    <w:p w14:paraId="3A11F06E" w14:textId="77777777" w:rsidR="00FD675D" w:rsidRPr="00420795" w:rsidRDefault="00FD675D" w:rsidP="00FD675D">
      <w:pPr>
        <w:jc w:val="both"/>
        <w:rPr>
          <w:rFonts w:ascii="Arial" w:eastAsia="Times New Roman" w:hAnsi="Arial" w:cs="Arial"/>
        </w:rPr>
      </w:pPr>
    </w:p>
    <w:p w14:paraId="5D417C5C" w14:textId="64123E11" w:rsidR="00FD675D" w:rsidRPr="00420795" w:rsidRDefault="00FD675D" w:rsidP="00FD675D">
      <w:pPr>
        <w:jc w:val="both"/>
        <w:rPr>
          <w:rFonts w:ascii="Arial" w:eastAsia="Times New Roman" w:hAnsi="Arial" w:cs="Arial"/>
        </w:rPr>
      </w:pPr>
      <w:r w:rsidRPr="00420795">
        <w:rPr>
          <w:rFonts w:ascii="Arial" w:eastAsia="Times New Roman" w:hAnsi="Arial" w:cs="Arial"/>
        </w:rPr>
        <w:t xml:space="preserve">Les montants de tarifications pour les services sont assimilés à la taxe foncière sur l’immeuble du propriétaire. Ces montants sont perçus en même temps et aux mêmes conditions de paiement que la taxe foncière annuelle. </w:t>
      </w:r>
    </w:p>
    <w:p w14:paraId="344CAB71" w14:textId="77777777" w:rsidR="00FD675D" w:rsidRPr="00420795" w:rsidRDefault="00FD675D" w:rsidP="00FD675D">
      <w:pPr>
        <w:jc w:val="both"/>
        <w:rPr>
          <w:rFonts w:ascii="Arial" w:eastAsia="Times New Roman" w:hAnsi="Arial" w:cs="Arial"/>
        </w:rPr>
      </w:pPr>
    </w:p>
    <w:p w14:paraId="7C59D59B" w14:textId="77777777" w:rsidR="00FD675D" w:rsidRPr="009C7F63" w:rsidRDefault="00FD675D" w:rsidP="00FD675D">
      <w:pPr>
        <w:tabs>
          <w:tab w:val="left" w:pos="1418"/>
          <w:tab w:val="left" w:pos="2268"/>
        </w:tabs>
        <w:jc w:val="both"/>
        <w:rPr>
          <w:rFonts w:ascii="Arial" w:eastAsia="Times New Roman" w:hAnsi="Arial" w:cs="Arial"/>
          <w:u w:val="single"/>
        </w:rPr>
      </w:pPr>
      <w:r w:rsidRPr="009C7F63">
        <w:rPr>
          <w:rFonts w:ascii="Arial" w:eastAsia="Times New Roman" w:hAnsi="Arial" w:cs="Arial"/>
          <w:b/>
        </w:rPr>
        <w:t>ARTICLE 10</w:t>
      </w:r>
      <w:r w:rsidRPr="009C7F63">
        <w:rPr>
          <w:rFonts w:ascii="Arial" w:eastAsia="Times New Roman" w:hAnsi="Arial" w:cs="Arial"/>
          <w:b/>
        </w:rPr>
        <w:tab/>
      </w:r>
      <w:r w:rsidRPr="009C7F63">
        <w:rPr>
          <w:rFonts w:ascii="Arial" w:eastAsia="Times New Roman" w:hAnsi="Arial" w:cs="Arial"/>
          <w:u w:val="single"/>
        </w:rPr>
        <w:t>Défaut de paiement</w:t>
      </w:r>
    </w:p>
    <w:p w14:paraId="1D64870F" w14:textId="77777777" w:rsidR="00FD675D" w:rsidRPr="009C7F63" w:rsidRDefault="00FD675D" w:rsidP="00FD675D">
      <w:pPr>
        <w:tabs>
          <w:tab w:val="left" w:pos="1418"/>
          <w:tab w:val="left" w:pos="2268"/>
        </w:tabs>
        <w:jc w:val="both"/>
        <w:rPr>
          <w:rFonts w:ascii="Arial" w:eastAsia="Times New Roman" w:hAnsi="Arial" w:cs="Arial"/>
          <w:u w:val="single"/>
        </w:rPr>
      </w:pPr>
    </w:p>
    <w:p w14:paraId="349E05B8" w14:textId="77777777" w:rsidR="00FD675D" w:rsidRPr="00420795" w:rsidRDefault="00FD675D" w:rsidP="00FD675D">
      <w:pPr>
        <w:tabs>
          <w:tab w:val="left" w:pos="5049"/>
        </w:tabs>
        <w:jc w:val="both"/>
        <w:rPr>
          <w:rFonts w:ascii="Arial" w:eastAsia="Times New Roman" w:hAnsi="Arial" w:cs="Arial"/>
          <w:iCs/>
        </w:rPr>
      </w:pPr>
      <w:r w:rsidRPr="009C7F63">
        <w:rPr>
          <w:rFonts w:ascii="Arial" w:eastAsia="Times New Roman" w:hAnsi="Arial" w:cs="Arial"/>
          <w:iCs/>
        </w:rPr>
        <w:t>Lorsqu’un versement n’est pas fait dans le délai prévu, seul le montant du versement échu est alors exigible immédiatement</w:t>
      </w:r>
      <w:r>
        <w:rPr>
          <w:rFonts w:ascii="Arial" w:eastAsia="Times New Roman" w:hAnsi="Arial" w:cs="Arial"/>
          <w:iCs/>
        </w:rPr>
        <w:t xml:space="preserve"> </w:t>
      </w:r>
    </w:p>
    <w:p w14:paraId="2D4E3152" w14:textId="77777777" w:rsidR="00FD675D" w:rsidRPr="00420795" w:rsidRDefault="00FD675D" w:rsidP="00FD675D">
      <w:pPr>
        <w:jc w:val="both"/>
        <w:rPr>
          <w:rFonts w:ascii="Arial" w:eastAsia="Times New Roman" w:hAnsi="Arial" w:cs="Arial"/>
        </w:rPr>
      </w:pPr>
      <w:r w:rsidRPr="00420795">
        <w:rPr>
          <w:rFonts w:ascii="Arial" w:eastAsia="Times New Roman" w:hAnsi="Arial" w:cs="Arial"/>
          <w:b/>
        </w:rPr>
        <w:tab/>
      </w:r>
    </w:p>
    <w:p w14:paraId="2BC6E996" w14:textId="77777777" w:rsidR="00FD675D" w:rsidRPr="00420795" w:rsidRDefault="00FD675D" w:rsidP="00FD675D">
      <w:pPr>
        <w:tabs>
          <w:tab w:val="left" w:pos="1418"/>
        </w:tabs>
        <w:jc w:val="both"/>
        <w:rPr>
          <w:rFonts w:ascii="Arial" w:eastAsia="Times New Roman" w:hAnsi="Arial" w:cs="Arial"/>
          <w:u w:val="single"/>
        </w:rPr>
      </w:pPr>
      <w:r w:rsidRPr="00420795">
        <w:rPr>
          <w:rFonts w:ascii="Arial" w:eastAsia="Times New Roman" w:hAnsi="Arial" w:cs="Arial"/>
          <w:b/>
        </w:rPr>
        <w:t>ARTICLE 12</w:t>
      </w:r>
      <w:r w:rsidRPr="00420795">
        <w:rPr>
          <w:rFonts w:ascii="Arial" w:eastAsia="Times New Roman" w:hAnsi="Arial" w:cs="Arial"/>
          <w:b/>
        </w:rPr>
        <w:tab/>
      </w:r>
      <w:r w:rsidRPr="00420795">
        <w:rPr>
          <w:rFonts w:ascii="Arial" w:eastAsia="Times New Roman" w:hAnsi="Arial" w:cs="Arial"/>
          <w:u w:val="single"/>
        </w:rPr>
        <w:t>Taux d’intérêts</w:t>
      </w:r>
    </w:p>
    <w:p w14:paraId="08FBEE52" w14:textId="77777777" w:rsidR="00FD675D" w:rsidRPr="00420795" w:rsidRDefault="00FD675D" w:rsidP="00FD675D">
      <w:pPr>
        <w:tabs>
          <w:tab w:val="left" w:pos="2268"/>
        </w:tabs>
        <w:jc w:val="both"/>
        <w:rPr>
          <w:rFonts w:ascii="Arial" w:eastAsia="Times New Roman" w:hAnsi="Arial" w:cs="Arial"/>
          <w:u w:val="single"/>
        </w:rPr>
      </w:pPr>
    </w:p>
    <w:p w14:paraId="43F27690" w14:textId="6DE08EB2" w:rsidR="00FD675D" w:rsidRPr="00420795" w:rsidRDefault="00FD675D" w:rsidP="00FD675D">
      <w:pPr>
        <w:tabs>
          <w:tab w:val="left" w:pos="2268"/>
        </w:tabs>
        <w:jc w:val="both"/>
        <w:rPr>
          <w:rFonts w:ascii="Arial" w:eastAsia="Times New Roman" w:hAnsi="Arial" w:cs="Arial"/>
        </w:rPr>
      </w:pPr>
      <w:r w:rsidRPr="00420795">
        <w:rPr>
          <w:rFonts w:ascii="Arial" w:eastAsia="Times New Roman" w:hAnsi="Arial" w:cs="Arial"/>
        </w:rPr>
        <w:t>Le défaut de paiement aux échéances, entraîne automatiquement des intérêts dont le taux est fixé à 14 % l’an, calculé sur une base journalière à compter du moment où les montants dus deviennent exigibles</w:t>
      </w:r>
      <w:r w:rsidRPr="00E96B6F">
        <w:rPr>
          <w:rFonts w:ascii="Arial" w:eastAsia="Times New Roman" w:hAnsi="Arial" w:cs="Arial"/>
        </w:rPr>
        <w:t>. Exceptionnellement à cause de la COVID-19 pour les six premiers mois le taux d’intérêts sera mis à zéro % pour les six dernier mois une décision sera prise à la séance du 1</w:t>
      </w:r>
      <w:r w:rsidR="00326602" w:rsidRPr="00E96B6F">
        <w:rPr>
          <w:rFonts w:ascii="Arial" w:eastAsia="Times New Roman" w:hAnsi="Arial" w:cs="Arial"/>
        </w:rPr>
        <w:t>3</w:t>
      </w:r>
      <w:r w:rsidRPr="00E96B6F">
        <w:rPr>
          <w:rFonts w:ascii="Arial" w:eastAsia="Times New Roman" w:hAnsi="Arial" w:cs="Arial"/>
        </w:rPr>
        <w:t xml:space="preserve"> juin 202</w:t>
      </w:r>
      <w:r w:rsidR="00326602" w:rsidRPr="00E96B6F">
        <w:rPr>
          <w:rFonts w:ascii="Arial" w:eastAsia="Times New Roman" w:hAnsi="Arial" w:cs="Arial"/>
        </w:rPr>
        <w:t>2</w:t>
      </w:r>
      <w:r w:rsidRPr="00E96B6F">
        <w:rPr>
          <w:rFonts w:ascii="Arial" w:eastAsia="Times New Roman" w:hAnsi="Arial" w:cs="Arial"/>
        </w:rPr>
        <w:t xml:space="preserve"> dépendamment de l’évolution du dossier COVID-19.</w:t>
      </w:r>
    </w:p>
    <w:p w14:paraId="47BB43AF" w14:textId="77777777" w:rsidR="00FD675D" w:rsidRPr="00420795" w:rsidRDefault="00FD675D" w:rsidP="00FD675D">
      <w:pPr>
        <w:tabs>
          <w:tab w:val="left" w:pos="1560"/>
          <w:tab w:val="left" w:pos="5670"/>
        </w:tabs>
        <w:ind w:left="1560" w:hanging="1560"/>
        <w:jc w:val="both"/>
        <w:rPr>
          <w:rFonts w:ascii="Arial" w:eastAsia="Times New Roman" w:hAnsi="Arial" w:cs="Arial"/>
          <w:bCs/>
        </w:rPr>
      </w:pPr>
    </w:p>
    <w:p w14:paraId="76207473" w14:textId="77777777" w:rsidR="00FD675D" w:rsidRPr="00420795" w:rsidRDefault="00FD675D" w:rsidP="00FD675D">
      <w:pPr>
        <w:tabs>
          <w:tab w:val="left" w:pos="1418"/>
          <w:tab w:val="left" w:pos="5670"/>
        </w:tabs>
        <w:jc w:val="both"/>
        <w:rPr>
          <w:rFonts w:ascii="Arial" w:eastAsia="Times New Roman" w:hAnsi="Arial" w:cs="Arial"/>
          <w:b/>
          <w:bCs/>
        </w:rPr>
      </w:pPr>
      <w:r w:rsidRPr="00420795">
        <w:rPr>
          <w:rFonts w:ascii="Arial" w:eastAsia="Times New Roman" w:hAnsi="Arial" w:cs="Arial"/>
          <w:b/>
          <w:bCs/>
        </w:rPr>
        <w:t>ARTICLE 13</w:t>
      </w:r>
      <w:r w:rsidRPr="00420795">
        <w:rPr>
          <w:rFonts w:ascii="Arial" w:eastAsia="Times New Roman" w:hAnsi="Arial" w:cs="Arial"/>
          <w:b/>
          <w:bCs/>
        </w:rPr>
        <w:tab/>
      </w:r>
      <w:r w:rsidRPr="00420795">
        <w:rPr>
          <w:rFonts w:ascii="Arial" w:eastAsia="Times New Roman" w:hAnsi="Arial" w:cs="Arial"/>
          <w:bCs/>
          <w:u w:val="single"/>
        </w:rPr>
        <w:t>Entrée en vigueur</w:t>
      </w:r>
      <w:r w:rsidRPr="00420795">
        <w:rPr>
          <w:rFonts w:ascii="Arial" w:eastAsia="Times New Roman" w:hAnsi="Arial" w:cs="Arial"/>
          <w:b/>
          <w:bCs/>
        </w:rPr>
        <w:tab/>
      </w:r>
    </w:p>
    <w:p w14:paraId="562064D9" w14:textId="77777777" w:rsidR="00FD675D" w:rsidRPr="00420795" w:rsidRDefault="00FD675D" w:rsidP="00FD675D">
      <w:pPr>
        <w:tabs>
          <w:tab w:val="left" w:pos="2268"/>
          <w:tab w:val="left" w:pos="2977"/>
          <w:tab w:val="left" w:pos="5670"/>
        </w:tabs>
        <w:ind w:left="2268" w:hanging="2268"/>
        <w:jc w:val="both"/>
        <w:rPr>
          <w:rFonts w:ascii="Arial" w:eastAsia="Times New Roman" w:hAnsi="Arial" w:cs="Arial"/>
          <w:bCs/>
        </w:rPr>
      </w:pPr>
    </w:p>
    <w:p w14:paraId="33C9C973" w14:textId="77777777" w:rsidR="00FD675D" w:rsidRPr="00420795" w:rsidRDefault="00FD675D" w:rsidP="00FD675D">
      <w:pPr>
        <w:tabs>
          <w:tab w:val="left" w:pos="5670"/>
        </w:tabs>
        <w:jc w:val="both"/>
        <w:rPr>
          <w:rFonts w:ascii="Arial" w:eastAsia="Times New Roman" w:hAnsi="Arial" w:cs="Arial"/>
          <w:bCs/>
        </w:rPr>
      </w:pPr>
      <w:r w:rsidRPr="00420795">
        <w:rPr>
          <w:rFonts w:ascii="Arial" w:eastAsia="Times New Roman" w:hAnsi="Arial" w:cs="Arial"/>
          <w:bCs/>
        </w:rPr>
        <w:t>Le présent règlement entre en vigueur conformément aux dispositions de la Loi.</w:t>
      </w:r>
    </w:p>
    <w:p w14:paraId="5F421AD7" w14:textId="77777777" w:rsidR="00FD675D" w:rsidRDefault="00FD675D" w:rsidP="00FD675D"/>
    <w:p w14:paraId="1B2DE9FD" w14:textId="77777777" w:rsidR="00E67597" w:rsidRDefault="00E67597" w:rsidP="00E67597">
      <w:pPr>
        <w:pStyle w:val="Retraitcorpsdetexte"/>
        <w:tabs>
          <w:tab w:val="clear" w:pos="1980"/>
        </w:tabs>
        <w:ind w:left="0" w:firstLine="0"/>
        <w:jc w:val="both"/>
        <w:rPr>
          <w:rFonts w:ascii="Arial" w:hAnsi="Arial" w:cs="Arial"/>
        </w:rPr>
      </w:pPr>
    </w:p>
    <w:p w14:paraId="4B765EA2" w14:textId="77777777" w:rsidR="00E67597" w:rsidRPr="00106322" w:rsidRDefault="00E67597" w:rsidP="00E67597">
      <w:pPr>
        <w:pStyle w:val="Retraitcorpsdetexte"/>
        <w:tabs>
          <w:tab w:val="clear" w:pos="1980"/>
        </w:tabs>
        <w:ind w:left="0" w:firstLine="0"/>
        <w:jc w:val="both"/>
        <w:rPr>
          <w:rFonts w:ascii="Arial" w:hAnsi="Arial" w:cs="Arial"/>
        </w:rPr>
      </w:pPr>
    </w:p>
    <w:p w14:paraId="171950E2" w14:textId="77777777" w:rsidR="00E67597" w:rsidRPr="00106322" w:rsidRDefault="00E67597" w:rsidP="00E67597">
      <w:pPr>
        <w:pStyle w:val="Retraitcorpsdetexte"/>
        <w:tabs>
          <w:tab w:val="clear" w:pos="1980"/>
        </w:tabs>
        <w:ind w:left="0" w:firstLine="0"/>
        <w:jc w:val="both"/>
        <w:rPr>
          <w:rFonts w:ascii="Arial" w:hAnsi="Arial" w:cs="Arial"/>
        </w:rPr>
      </w:pPr>
    </w:p>
    <w:p w14:paraId="4140B462" w14:textId="77777777" w:rsidR="00E67597" w:rsidRPr="00106322" w:rsidRDefault="00E67597" w:rsidP="00E67597">
      <w:pPr>
        <w:pStyle w:val="Retraitcorpsdetexte"/>
        <w:tabs>
          <w:tab w:val="clear" w:pos="1440"/>
          <w:tab w:val="clear" w:pos="1980"/>
          <w:tab w:val="left" w:pos="3960"/>
          <w:tab w:val="left" w:pos="5400"/>
          <w:tab w:val="right" w:pos="9360"/>
        </w:tabs>
        <w:ind w:left="0" w:firstLine="0"/>
        <w:jc w:val="both"/>
        <w:rPr>
          <w:rFonts w:ascii="Arial" w:hAnsi="Arial" w:cs="Arial"/>
          <w:u w:val="single"/>
        </w:rPr>
      </w:pPr>
      <w:r w:rsidRPr="001063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</w:t>
      </w:r>
      <w:r w:rsidRPr="00106322">
        <w:rPr>
          <w:rFonts w:ascii="Arial" w:hAnsi="Arial" w:cs="Arial"/>
        </w:rPr>
        <w:tab/>
      </w:r>
      <w:r w:rsidRPr="00106322">
        <w:rPr>
          <w:rFonts w:ascii="Arial" w:hAnsi="Arial" w:cs="Arial"/>
          <w:u w:val="single"/>
        </w:rPr>
        <w:tab/>
      </w:r>
    </w:p>
    <w:p w14:paraId="6A54FBF9" w14:textId="77777777" w:rsidR="00E67597" w:rsidRPr="00106322" w:rsidRDefault="00E67597" w:rsidP="00E67597">
      <w:pPr>
        <w:pStyle w:val="Retraitcorpsdetexte"/>
        <w:tabs>
          <w:tab w:val="clear" w:pos="1440"/>
          <w:tab w:val="clear" w:pos="1980"/>
          <w:tab w:val="left" w:pos="3960"/>
          <w:tab w:val="left" w:pos="540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Directeur général et s</w:t>
      </w:r>
      <w:r w:rsidRPr="00106322">
        <w:rPr>
          <w:rFonts w:ascii="Arial" w:hAnsi="Arial" w:cs="Arial"/>
        </w:rPr>
        <w:t>ecrétaire-trésorier</w:t>
      </w:r>
      <w:r w:rsidRPr="00106322">
        <w:rPr>
          <w:rFonts w:ascii="Arial" w:hAnsi="Arial" w:cs="Arial"/>
        </w:rPr>
        <w:tab/>
        <w:t>Maire</w:t>
      </w:r>
      <w:r>
        <w:rPr>
          <w:rFonts w:ascii="Arial" w:hAnsi="Arial" w:cs="Arial"/>
        </w:rPr>
        <w:t>sse</w:t>
      </w:r>
    </w:p>
    <w:p w14:paraId="595380A2" w14:textId="77777777" w:rsidR="00E67597" w:rsidRPr="00106322" w:rsidRDefault="00E67597" w:rsidP="00E67597">
      <w:pPr>
        <w:tabs>
          <w:tab w:val="left" w:pos="1440"/>
        </w:tabs>
        <w:jc w:val="both"/>
        <w:rPr>
          <w:rFonts w:ascii="Arial" w:hAnsi="Arial" w:cs="Arial"/>
        </w:rPr>
      </w:pPr>
    </w:p>
    <w:p w14:paraId="060C90B0" w14:textId="77777777" w:rsidR="00FD675D" w:rsidRDefault="00FD675D" w:rsidP="00FD675D"/>
    <w:p w14:paraId="2B17569A" w14:textId="6DD64E5B" w:rsidR="00FD675D" w:rsidRDefault="00FD675D" w:rsidP="00FD675D">
      <w:pPr>
        <w:tabs>
          <w:tab w:val="left" w:pos="3544"/>
          <w:tab w:val="left" w:pos="425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Avis de motion : </w:t>
      </w:r>
      <w:r w:rsidR="002E5B03">
        <w:rPr>
          <w:rFonts w:ascii="Arial" w:hAnsi="Arial"/>
        </w:rPr>
        <w:t>15</w:t>
      </w:r>
      <w:r>
        <w:rPr>
          <w:rFonts w:ascii="Arial" w:hAnsi="Arial"/>
        </w:rPr>
        <w:t xml:space="preserve"> novembre 202</w:t>
      </w:r>
      <w:r w:rsidR="00AC1FA4">
        <w:rPr>
          <w:rFonts w:ascii="Arial" w:hAnsi="Arial"/>
        </w:rPr>
        <w:t>1</w:t>
      </w:r>
    </w:p>
    <w:p w14:paraId="3962214C" w14:textId="6D1F2F47" w:rsidR="00FD675D" w:rsidRDefault="00FD675D" w:rsidP="00FD675D">
      <w:pPr>
        <w:tabs>
          <w:tab w:val="left" w:pos="3544"/>
          <w:tab w:val="left" w:pos="425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Avis public : </w:t>
      </w:r>
      <w:r w:rsidR="002E5B03">
        <w:rPr>
          <w:rFonts w:ascii="Arial" w:hAnsi="Arial"/>
        </w:rPr>
        <w:t>1</w:t>
      </w:r>
      <w:r w:rsidR="00613AF6">
        <w:rPr>
          <w:rFonts w:ascii="Arial" w:hAnsi="Arial"/>
        </w:rPr>
        <w:t>0</w:t>
      </w:r>
      <w:r>
        <w:rPr>
          <w:rFonts w:ascii="Arial" w:hAnsi="Arial"/>
        </w:rPr>
        <w:t xml:space="preserve"> </w:t>
      </w:r>
      <w:r w:rsidR="00613AF6">
        <w:rPr>
          <w:rFonts w:ascii="Arial" w:hAnsi="Arial"/>
        </w:rPr>
        <w:t>déc</w:t>
      </w:r>
      <w:r>
        <w:rPr>
          <w:rFonts w:ascii="Arial" w:hAnsi="Arial"/>
        </w:rPr>
        <w:t>embre 202</w:t>
      </w:r>
      <w:r w:rsidR="002E5B03">
        <w:rPr>
          <w:rFonts w:ascii="Arial" w:hAnsi="Arial"/>
        </w:rPr>
        <w:t>1</w:t>
      </w:r>
    </w:p>
    <w:p w14:paraId="04A421CD" w14:textId="52A9F826" w:rsidR="00FD675D" w:rsidRDefault="00FD675D" w:rsidP="00FD675D">
      <w:pPr>
        <w:tabs>
          <w:tab w:val="left" w:pos="3544"/>
          <w:tab w:val="left" w:pos="4253"/>
        </w:tabs>
        <w:jc w:val="both"/>
        <w:rPr>
          <w:rFonts w:ascii="Arial" w:hAnsi="Arial"/>
        </w:rPr>
      </w:pPr>
      <w:r>
        <w:rPr>
          <w:rFonts w:ascii="Arial" w:hAnsi="Arial"/>
        </w:rPr>
        <w:t>Adoption du règlement : 1</w:t>
      </w:r>
      <w:r w:rsidR="00613AF6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r w:rsidR="00613AF6">
        <w:rPr>
          <w:rFonts w:ascii="Arial" w:hAnsi="Arial"/>
        </w:rPr>
        <w:t>janvier</w:t>
      </w:r>
      <w:r>
        <w:rPr>
          <w:rFonts w:ascii="Arial" w:hAnsi="Arial"/>
        </w:rPr>
        <w:t xml:space="preserve"> 202</w:t>
      </w:r>
      <w:r w:rsidR="00613AF6">
        <w:rPr>
          <w:rFonts w:ascii="Arial" w:hAnsi="Arial"/>
        </w:rPr>
        <w:t>2</w:t>
      </w:r>
    </w:p>
    <w:p w14:paraId="27B16A00" w14:textId="5ECDAA9E" w:rsidR="00FD675D" w:rsidRDefault="00FD675D" w:rsidP="00FD675D">
      <w:pPr>
        <w:tabs>
          <w:tab w:val="left" w:pos="3544"/>
          <w:tab w:val="left" w:pos="4253"/>
        </w:tabs>
        <w:jc w:val="both"/>
        <w:rPr>
          <w:rFonts w:ascii="Arial" w:hAnsi="Arial"/>
        </w:rPr>
      </w:pPr>
      <w:r w:rsidRPr="00817E5B">
        <w:rPr>
          <w:rFonts w:ascii="Arial" w:hAnsi="Arial"/>
        </w:rPr>
        <w:t>Résolution #</w:t>
      </w:r>
      <w:r w:rsidR="00A00D7D">
        <w:rPr>
          <w:rFonts w:ascii="Arial" w:hAnsi="Arial"/>
        </w:rPr>
        <w:t>10398-01-2022</w:t>
      </w:r>
    </w:p>
    <w:bookmarkEnd w:id="0"/>
    <w:p w14:paraId="25B0B915" w14:textId="77777777" w:rsidR="00392650" w:rsidRPr="00CC2108" w:rsidRDefault="00392650" w:rsidP="00CC2108">
      <w:pPr>
        <w:tabs>
          <w:tab w:val="left" w:pos="3828"/>
        </w:tabs>
        <w:rPr>
          <w:rFonts w:ascii="Arial" w:hAnsi="Arial" w:cs="Arial"/>
          <w:sz w:val="20"/>
        </w:rPr>
      </w:pPr>
    </w:p>
    <w:sectPr w:rsidR="00392650" w:rsidRPr="00CC2108" w:rsidSect="00E67597">
      <w:pgSz w:w="12240" w:h="20160" w:code="5"/>
      <w:pgMar w:top="2268" w:right="2268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7245" w14:textId="77777777" w:rsidR="00CA3002" w:rsidRDefault="00CA3002" w:rsidP="00392650">
      <w:r>
        <w:separator/>
      </w:r>
    </w:p>
  </w:endnote>
  <w:endnote w:type="continuationSeparator" w:id="0">
    <w:p w14:paraId="56B75B77" w14:textId="77777777" w:rsidR="00CA3002" w:rsidRDefault="00CA3002" w:rsidP="0039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498B" w14:textId="77777777" w:rsidR="00CA3002" w:rsidRDefault="00CA3002" w:rsidP="00392650">
      <w:r>
        <w:separator/>
      </w:r>
    </w:p>
  </w:footnote>
  <w:footnote w:type="continuationSeparator" w:id="0">
    <w:p w14:paraId="34324635" w14:textId="77777777" w:rsidR="00CA3002" w:rsidRDefault="00CA3002" w:rsidP="0039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onsecutiveHyphenLimit w:val="2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95"/>
    <w:rsid w:val="00005953"/>
    <w:rsid w:val="000735AB"/>
    <w:rsid w:val="00083904"/>
    <w:rsid w:val="000A4090"/>
    <w:rsid w:val="000D4192"/>
    <w:rsid w:val="0017051D"/>
    <w:rsid w:val="001719C8"/>
    <w:rsid w:val="001833EE"/>
    <w:rsid w:val="00187C60"/>
    <w:rsid w:val="002209E4"/>
    <w:rsid w:val="0022134C"/>
    <w:rsid w:val="00291C97"/>
    <w:rsid w:val="002921EB"/>
    <w:rsid w:val="002D0D20"/>
    <w:rsid w:val="002E163F"/>
    <w:rsid w:val="002E5B03"/>
    <w:rsid w:val="00326602"/>
    <w:rsid w:val="00377876"/>
    <w:rsid w:val="00381C0C"/>
    <w:rsid w:val="00392650"/>
    <w:rsid w:val="00400C11"/>
    <w:rsid w:val="00420795"/>
    <w:rsid w:val="004211C0"/>
    <w:rsid w:val="00444920"/>
    <w:rsid w:val="0045437B"/>
    <w:rsid w:val="004C2067"/>
    <w:rsid w:val="00512A62"/>
    <w:rsid w:val="00562930"/>
    <w:rsid w:val="00583E91"/>
    <w:rsid w:val="005A6BDD"/>
    <w:rsid w:val="005B7C08"/>
    <w:rsid w:val="005C4BDB"/>
    <w:rsid w:val="00613AF6"/>
    <w:rsid w:val="006379AD"/>
    <w:rsid w:val="00640158"/>
    <w:rsid w:val="006A0F21"/>
    <w:rsid w:val="006B24DC"/>
    <w:rsid w:val="006B5F18"/>
    <w:rsid w:val="006C31A3"/>
    <w:rsid w:val="00704B8E"/>
    <w:rsid w:val="00706AAC"/>
    <w:rsid w:val="0073708C"/>
    <w:rsid w:val="00737D62"/>
    <w:rsid w:val="00741BEC"/>
    <w:rsid w:val="00751119"/>
    <w:rsid w:val="0075489C"/>
    <w:rsid w:val="00765090"/>
    <w:rsid w:val="007B37CE"/>
    <w:rsid w:val="008040CB"/>
    <w:rsid w:val="00823FC4"/>
    <w:rsid w:val="008A3D0F"/>
    <w:rsid w:val="008A66CC"/>
    <w:rsid w:val="008C2CD7"/>
    <w:rsid w:val="00902E8F"/>
    <w:rsid w:val="00923738"/>
    <w:rsid w:val="00995293"/>
    <w:rsid w:val="009A78AF"/>
    <w:rsid w:val="009C7F63"/>
    <w:rsid w:val="009E2F84"/>
    <w:rsid w:val="00A00D7D"/>
    <w:rsid w:val="00A0737D"/>
    <w:rsid w:val="00A20617"/>
    <w:rsid w:val="00A36B81"/>
    <w:rsid w:val="00A540BC"/>
    <w:rsid w:val="00A65CB7"/>
    <w:rsid w:val="00A73244"/>
    <w:rsid w:val="00A837BD"/>
    <w:rsid w:val="00AC1062"/>
    <w:rsid w:val="00AC1FA4"/>
    <w:rsid w:val="00AD5CAE"/>
    <w:rsid w:val="00AE273A"/>
    <w:rsid w:val="00B15EF0"/>
    <w:rsid w:val="00B67F75"/>
    <w:rsid w:val="00B92B45"/>
    <w:rsid w:val="00B950F0"/>
    <w:rsid w:val="00BE6A33"/>
    <w:rsid w:val="00BF3059"/>
    <w:rsid w:val="00C163EB"/>
    <w:rsid w:val="00CA3002"/>
    <w:rsid w:val="00CB2CD8"/>
    <w:rsid w:val="00CC2108"/>
    <w:rsid w:val="00D16747"/>
    <w:rsid w:val="00D70399"/>
    <w:rsid w:val="00DD06CB"/>
    <w:rsid w:val="00DD319A"/>
    <w:rsid w:val="00DF5E7E"/>
    <w:rsid w:val="00DF797B"/>
    <w:rsid w:val="00E14587"/>
    <w:rsid w:val="00E34479"/>
    <w:rsid w:val="00E352C1"/>
    <w:rsid w:val="00E67597"/>
    <w:rsid w:val="00E96B6F"/>
    <w:rsid w:val="00EA0BCB"/>
    <w:rsid w:val="00EC04F6"/>
    <w:rsid w:val="00EC790B"/>
    <w:rsid w:val="00ED3E1E"/>
    <w:rsid w:val="00ED4437"/>
    <w:rsid w:val="00EE04B9"/>
    <w:rsid w:val="00EF789F"/>
    <w:rsid w:val="00F04F77"/>
    <w:rsid w:val="00F070BE"/>
    <w:rsid w:val="00F2267F"/>
    <w:rsid w:val="00F300CE"/>
    <w:rsid w:val="00F324F6"/>
    <w:rsid w:val="00F45C25"/>
    <w:rsid w:val="00F45D9D"/>
    <w:rsid w:val="00F46F3C"/>
    <w:rsid w:val="00F626B3"/>
    <w:rsid w:val="00FB2FD7"/>
    <w:rsid w:val="00FB62A6"/>
    <w:rsid w:val="00FC45AA"/>
    <w:rsid w:val="00FD675D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0AE1C3F"/>
  <w15:docId w15:val="{EB367F07-7A3C-4FDD-AC92-FB0ECECF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3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aliases w:val="Article secondaire"/>
    <w:basedOn w:val="Normal"/>
    <w:next w:val="Normal"/>
    <w:link w:val="Titre2Car"/>
    <w:uiPriority w:val="9"/>
    <w:qFormat/>
    <w:rsid w:val="00392650"/>
    <w:pPr>
      <w:keepNext/>
      <w:tabs>
        <w:tab w:val="left" w:pos="3261"/>
      </w:tabs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265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92650"/>
  </w:style>
  <w:style w:type="paragraph" w:styleId="Pieddepage">
    <w:name w:val="footer"/>
    <w:basedOn w:val="Normal"/>
    <w:link w:val="PieddepageCar"/>
    <w:uiPriority w:val="99"/>
    <w:unhideWhenUsed/>
    <w:rsid w:val="0039265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2650"/>
  </w:style>
  <w:style w:type="character" w:customStyle="1" w:styleId="Titre2Car">
    <w:name w:val="Titre 2 Car"/>
    <w:aliases w:val="Article secondaire Car"/>
    <w:basedOn w:val="Policepardfaut"/>
    <w:link w:val="Titre2"/>
    <w:uiPriority w:val="9"/>
    <w:rsid w:val="00392650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6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65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732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traitcorpsdetexte">
    <w:name w:val="Body Text Indent"/>
    <w:basedOn w:val="Normal"/>
    <w:link w:val="RetraitcorpsdetexteCar"/>
    <w:semiHidden/>
    <w:rsid w:val="00E67597"/>
    <w:pPr>
      <w:tabs>
        <w:tab w:val="left" w:pos="1440"/>
        <w:tab w:val="left" w:pos="1980"/>
      </w:tabs>
      <w:ind w:left="1980" w:hanging="198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6759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Annick</dc:creator>
  <cp:lastModifiedBy>Diane ste-anne</cp:lastModifiedBy>
  <cp:revision>2</cp:revision>
  <cp:lastPrinted>2021-03-23T19:27:00Z</cp:lastPrinted>
  <dcterms:created xsi:type="dcterms:W3CDTF">2022-04-08T18:27:00Z</dcterms:created>
  <dcterms:modified xsi:type="dcterms:W3CDTF">2022-04-08T18:27:00Z</dcterms:modified>
</cp:coreProperties>
</file>